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rPr>
          <w:rFonts w:ascii="黑体" w:hAnsi="黑体" w:eastAsia="黑体" w:cs="宋体"/>
          <w:szCs w:val="32"/>
        </w:rPr>
      </w:pPr>
      <w:r>
        <w:rPr>
          <w:rFonts w:hint="eastAsia" w:ascii="黑体" w:hAnsi="黑体" w:eastAsia="黑体" w:cs="宋体"/>
          <w:szCs w:val="32"/>
        </w:rPr>
        <w:t>附件</w:t>
      </w:r>
    </w:p>
    <w:p>
      <w:pPr>
        <w:snapToGrid w:val="0"/>
        <w:ind w:firstLine="720"/>
        <w:jc w:val="center"/>
        <w:rPr>
          <w:rFonts w:ascii="方正小标宋简体" w:hAnsi="宋体" w:eastAsia="方正小标宋简体" w:cs="宋体"/>
          <w:sz w:val="36"/>
          <w:szCs w:val="36"/>
        </w:rPr>
      </w:pPr>
    </w:p>
    <w:p>
      <w:pPr>
        <w:snapToGrid w:val="0"/>
        <w:ind w:firstLine="720"/>
        <w:jc w:val="center"/>
        <w:rPr>
          <w:rFonts w:ascii="方正小标宋简体" w:hAnsi="宋体" w:eastAsia="方正小标宋简体" w:cs="宋体"/>
          <w:sz w:val="36"/>
          <w:szCs w:val="36"/>
        </w:rPr>
      </w:pPr>
    </w:p>
    <w:p>
      <w:pPr>
        <w:spacing w:line="240" w:lineRule="auto"/>
        <w:ind w:firstLine="0" w:firstLineChars="0"/>
        <w:jc w:val="center"/>
        <w:rPr>
          <w:rFonts w:ascii="宋体" w:hAnsi="宋体" w:eastAsia="宋体"/>
          <w:b/>
          <w:bCs/>
          <w:sz w:val="56"/>
          <w:szCs w:val="20"/>
        </w:rPr>
      </w:pPr>
      <w:r>
        <w:rPr>
          <w:rFonts w:hint="eastAsia" w:ascii="宋体" w:hAnsi="宋体" w:eastAsia="宋体"/>
          <w:b/>
          <w:bCs/>
          <w:sz w:val="56"/>
          <w:szCs w:val="20"/>
        </w:rPr>
        <w:t>梅河口市“一主六双”</w:t>
      </w:r>
    </w:p>
    <w:p>
      <w:pPr>
        <w:spacing w:line="240" w:lineRule="auto"/>
        <w:ind w:firstLine="0" w:firstLineChars="0"/>
        <w:jc w:val="center"/>
        <w:rPr>
          <w:rFonts w:ascii="宋体" w:hAnsi="宋体" w:eastAsia="宋体"/>
          <w:b/>
          <w:bCs/>
          <w:sz w:val="56"/>
          <w:szCs w:val="20"/>
        </w:rPr>
      </w:pPr>
      <w:r>
        <w:rPr>
          <w:rFonts w:hint="eastAsia" w:ascii="宋体" w:hAnsi="宋体" w:eastAsia="宋体"/>
          <w:b/>
          <w:bCs/>
          <w:sz w:val="56"/>
          <w:szCs w:val="20"/>
        </w:rPr>
        <w:t>高质量发展战略实施方案</w:t>
      </w:r>
    </w:p>
    <w:p>
      <w:pPr>
        <w:snapToGrid w:val="0"/>
        <w:ind w:firstLine="0" w:firstLineChars="0"/>
        <w:jc w:val="center"/>
        <w:rPr>
          <w:rFonts w:hint="eastAsia" w:ascii="楷体" w:hAnsi="楷体" w:eastAsia="楷体" w:cs="宋体"/>
          <w:sz w:val="36"/>
          <w:szCs w:val="36"/>
          <w:lang w:eastAsia="zh-CN"/>
        </w:rPr>
      </w:pPr>
      <w:r>
        <w:rPr>
          <w:rFonts w:hint="eastAsia" w:ascii="楷体" w:hAnsi="楷体" w:eastAsia="楷体" w:cs="宋体"/>
          <w:sz w:val="36"/>
          <w:szCs w:val="36"/>
          <w:lang w:eastAsia="zh-CN"/>
        </w:rPr>
        <w:t>（征求意见稿）</w:t>
      </w:r>
    </w:p>
    <w:p>
      <w:pPr>
        <w:snapToGrid w:val="0"/>
        <w:ind w:firstLine="0" w:firstLineChars="0"/>
        <w:jc w:val="center"/>
        <w:rPr>
          <w:rFonts w:ascii="楷体" w:hAnsi="楷体" w:eastAsia="楷体" w:cs="宋体"/>
          <w:sz w:val="36"/>
          <w:szCs w:val="36"/>
        </w:rPr>
      </w:pPr>
    </w:p>
    <w:p>
      <w:pPr>
        <w:snapToGrid w:val="0"/>
        <w:ind w:firstLine="0" w:firstLineChars="0"/>
        <w:jc w:val="center"/>
        <w:rPr>
          <w:rFonts w:ascii="楷体" w:hAnsi="楷体" w:eastAsia="楷体" w:cs="宋体"/>
          <w:sz w:val="36"/>
          <w:szCs w:val="36"/>
        </w:rPr>
      </w:pPr>
    </w:p>
    <w:p>
      <w:pPr>
        <w:snapToGrid w:val="0"/>
        <w:ind w:firstLine="0" w:firstLineChars="0"/>
        <w:jc w:val="center"/>
        <w:rPr>
          <w:rFonts w:ascii="楷体" w:hAnsi="楷体" w:eastAsia="楷体" w:cs="宋体"/>
          <w:sz w:val="36"/>
          <w:szCs w:val="36"/>
        </w:rPr>
      </w:pPr>
    </w:p>
    <w:p>
      <w:pPr>
        <w:snapToGrid w:val="0"/>
        <w:ind w:firstLine="0" w:firstLineChars="0"/>
        <w:jc w:val="center"/>
        <w:rPr>
          <w:rFonts w:ascii="楷体" w:hAnsi="楷体" w:eastAsia="楷体" w:cs="宋体"/>
          <w:sz w:val="36"/>
          <w:szCs w:val="36"/>
        </w:rPr>
      </w:pPr>
    </w:p>
    <w:p>
      <w:pPr>
        <w:snapToGrid w:val="0"/>
        <w:ind w:firstLine="0" w:firstLineChars="0"/>
        <w:jc w:val="center"/>
        <w:rPr>
          <w:rFonts w:ascii="楷体" w:hAnsi="楷体" w:eastAsia="楷体" w:cs="宋体"/>
          <w:sz w:val="36"/>
          <w:szCs w:val="36"/>
        </w:rPr>
      </w:pPr>
    </w:p>
    <w:p>
      <w:pPr>
        <w:snapToGrid w:val="0"/>
        <w:ind w:firstLine="0" w:firstLineChars="0"/>
        <w:jc w:val="center"/>
        <w:rPr>
          <w:rFonts w:ascii="楷体" w:hAnsi="楷体" w:eastAsia="楷体" w:cs="宋体"/>
          <w:sz w:val="36"/>
          <w:szCs w:val="36"/>
        </w:rPr>
      </w:pPr>
    </w:p>
    <w:p>
      <w:pPr>
        <w:snapToGrid w:val="0"/>
        <w:ind w:firstLine="0" w:firstLineChars="0"/>
        <w:jc w:val="center"/>
        <w:rPr>
          <w:rFonts w:ascii="楷体" w:hAnsi="楷体" w:eastAsia="楷体" w:cs="宋体"/>
          <w:sz w:val="36"/>
          <w:szCs w:val="36"/>
        </w:rPr>
      </w:pPr>
    </w:p>
    <w:p>
      <w:pPr>
        <w:snapToGrid w:val="0"/>
        <w:ind w:firstLine="0" w:firstLineChars="0"/>
        <w:jc w:val="center"/>
        <w:rPr>
          <w:rFonts w:ascii="楷体" w:hAnsi="楷体" w:eastAsia="楷体" w:cs="宋体"/>
          <w:sz w:val="36"/>
          <w:szCs w:val="36"/>
        </w:rPr>
      </w:pPr>
    </w:p>
    <w:p>
      <w:pPr>
        <w:snapToGrid w:val="0"/>
        <w:ind w:firstLine="0" w:firstLineChars="0"/>
        <w:jc w:val="center"/>
        <w:rPr>
          <w:rFonts w:ascii="楷体" w:hAnsi="楷体" w:eastAsia="楷体" w:cs="宋体"/>
          <w:sz w:val="36"/>
          <w:szCs w:val="36"/>
        </w:rPr>
      </w:pPr>
    </w:p>
    <w:p>
      <w:pPr>
        <w:ind w:firstLine="0" w:firstLineChars="0"/>
        <w:jc w:val="center"/>
        <w:rPr>
          <w:rFonts w:ascii="宋体" w:hAnsi="宋体" w:eastAsia="宋体"/>
          <w:b/>
          <w:bCs/>
          <w:sz w:val="40"/>
          <w:szCs w:val="20"/>
        </w:rPr>
      </w:pPr>
      <w:r>
        <w:rPr>
          <w:rFonts w:hint="eastAsia" w:ascii="宋体" w:hAnsi="宋体" w:eastAsia="宋体"/>
          <w:b/>
          <w:bCs/>
          <w:sz w:val="40"/>
          <w:szCs w:val="20"/>
        </w:rPr>
        <w:t>梅河口市人民政府</w:t>
      </w:r>
    </w:p>
    <w:p>
      <w:pPr>
        <w:ind w:firstLine="0" w:firstLineChars="0"/>
        <w:jc w:val="center"/>
        <w:rPr>
          <w:rFonts w:ascii="宋体" w:hAnsi="宋体" w:eastAsia="宋体"/>
          <w:b/>
          <w:bCs/>
          <w:sz w:val="40"/>
          <w:szCs w:val="20"/>
        </w:rPr>
      </w:pPr>
      <w:r>
        <w:rPr>
          <w:rFonts w:hint="eastAsia" w:ascii="宋体" w:hAnsi="宋体" w:eastAsia="宋体"/>
          <w:b/>
          <w:bCs/>
          <w:sz w:val="40"/>
          <w:szCs w:val="20"/>
        </w:rPr>
        <w:t>2022年</w:t>
      </w:r>
      <w:r>
        <w:rPr>
          <w:rFonts w:hint="eastAsia" w:ascii="宋体" w:hAnsi="宋体" w:eastAsia="宋体"/>
          <w:b/>
          <w:bCs/>
          <w:sz w:val="40"/>
          <w:szCs w:val="20"/>
          <w:lang w:val="en-US" w:eastAsia="zh-CN"/>
        </w:rPr>
        <w:t>9</w:t>
      </w:r>
      <w:r>
        <w:rPr>
          <w:rFonts w:hint="eastAsia" w:ascii="宋体" w:hAnsi="宋体" w:eastAsia="宋体"/>
          <w:b/>
          <w:bCs/>
          <w:sz w:val="40"/>
          <w:szCs w:val="20"/>
        </w:rPr>
        <w:t>月</w:t>
      </w:r>
    </w:p>
    <w:p>
      <w:pPr>
        <w:pStyle w:val="2"/>
        <w:spacing w:before="156" w:after="156"/>
        <w:ind w:firstLine="723"/>
        <w:jc w:val="cente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ind w:firstLine="0" w:firstLineChars="0"/>
        <w:jc w:val="center"/>
        <w:rPr>
          <w:rFonts w:eastAsia="宋体"/>
          <w:b/>
          <w:sz w:val="36"/>
        </w:rPr>
      </w:pPr>
      <w:r>
        <w:rPr>
          <w:rFonts w:eastAsia="宋体"/>
          <w:b/>
          <w:sz w:val="36"/>
        </w:rPr>
        <w:t>目  录</w:t>
      </w:r>
    </w:p>
    <w:p>
      <w:pPr>
        <w:pStyle w:val="10"/>
        <w:tabs>
          <w:tab w:val="right" w:leader="dot" w:pos="8296"/>
        </w:tabs>
        <w:ind w:firstLine="602"/>
        <w:rPr>
          <w:rFonts w:asciiTheme="minorHAnsi" w:hAnsiTheme="minorHAnsi" w:eastAsiaTheme="minorEastAsia" w:cstheme="minorBidi"/>
          <w:b w:val="0"/>
          <w:sz w:val="21"/>
        </w:rPr>
      </w:pPr>
      <w:r>
        <w:fldChar w:fldCharType="begin"/>
      </w:r>
      <w:r>
        <w:instrText xml:space="preserve"> TOC \o "1-3" \h \z \u </w:instrText>
      </w:r>
      <w:r>
        <w:fldChar w:fldCharType="separate"/>
      </w:r>
      <w:r>
        <w:fldChar w:fldCharType="begin"/>
      </w:r>
      <w:r>
        <w:instrText xml:space="preserve"> HYPERLINK \l "_Toc114213704" </w:instrText>
      </w:r>
      <w:r>
        <w:fldChar w:fldCharType="separate"/>
      </w:r>
      <w:r>
        <w:rPr>
          <w:rStyle w:val="23"/>
          <w:rFonts w:hint="eastAsia"/>
        </w:rPr>
        <w:t>前</w:t>
      </w:r>
      <w:r>
        <w:rPr>
          <w:rStyle w:val="23"/>
        </w:rPr>
        <w:t xml:space="preserve">  </w:t>
      </w:r>
      <w:r>
        <w:rPr>
          <w:rStyle w:val="23"/>
          <w:rFonts w:hint="eastAsia"/>
        </w:rPr>
        <w:t>言</w:t>
      </w:r>
      <w:r>
        <w:tab/>
      </w:r>
      <w:r>
        <w:fldChar w:fldCharType="begin"/>
      </w:r>
      <w:r>
        <w:instrText xml:space="preserve"> PAGEREF _Toc114213704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b w:val="0"/>
          <w:sz w:val="21"/>
        </w:rPr>
      </w:pPr>
      <w:r>
        <w:fldChar w:fldCharType="begin"/>
      </w:r>
      <w:r>
        <w:instrText xml:space="preserve"> HYPERLINK \l "_Toc114213705" </w:instrText>
      </w:r>
      <w:r>
        <w:fldChar w:fldCharType="separate"/>
      </w:r>
      <w:r>
        <w:rPr>
          <w:rStyle w:val="23"/>
          <w:rFonts w:hint="eastAsia"/>
        </w:rPr>
        <w:t>一、总体要求</w:t>
      </w:r>
      <w:r>
        <w:tab/>
      </w:r>
      <w:r>
        <w:fldChar w:fldCharType="begin"/>
      </w:r>
      <w:r>
        <w:instrText xml:space="preserve"> PAGEREF _Toc114213705 \h </w:instrText>
      </w:r>
      <w:r>
        <w:fldChar w:fldCharType="separate"/>
      </w:r>
      <w:r>
        <w:t>2</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"_Toc114213706" </w:instrText>
      </w:r>
      <w:r>
        <w:fldChar w:fldCharType="separate"/>
      </w:r>
      <w:r>
        <w:rPr>
          <w:rStyle w:val="23"/>
          <w:rFonts w:hint="eastAsia"/>
        </w:rPr>
        <w:t>（一）指导思想</w:t>
      </w:r>
      <w:r>
        <w:tab/>
      </w:r>
      <w:r>
        <w:fldChar w:fldCharType="begin"/>
      </w:r>
      <w:r>
        <w:instrText xml:space="preserve"> PAGEREF _Toc114213706 \h </w:instrText>
      </w:r>
      <w:r>
        <w:fldChar w:fldCharType="separate"/>
      </w:r>
      <w:r>
        <w:t>2</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"_Toc114213707" </w:instrText>
      </w:r>
      <w:r>
        <w:fldChar w:fldCharType="separate"/>
      </w:r>
      <w:r>
        <w:rPr>
          <w:rStyle w:val="23"/>
          <w:rFonts w:hint="eastAsia"/>
        </w:rPr>
        <w:t>（二）基本原则</w:t>
      </w:r>
      <w:r>
        <w:tab/>
      </w:r>
      <w:r>
        <w:fldChar w:fldCharType="begin"/>
      </w:r>
      <w:r>
        <w:instrText xml:space="preserve"> PAGEREF _Toc114213707 \h </w:instrText>
      </w:r>
      <w:r>
        <w:fldChar w:fldCharType="separate"/>
      </w:r>
      <w:r>
        <w:t>2</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"_Toc114213708" </w:instrText>
      </w:r>
      <w:r>
        <w:fldChar w:fldCharType="separate"/>
      </w:r>
      <w:r>
        <w:rPr>
          <w:rStyle w:val="23"/>
          <w:rFonts w:hint="eastAsia"/>
        </w:rPr>
        <w:t>（三）发展目标</w:t>
      </w:r>
      <w:r>
        <w:tab/>
      </w:r>
      <w:r>
        <w:fldChar w:fldCharType="begin"/>
      </w:r>
      <w:r>
        <w:instrText xml:space="preserve"> PAGEREF _Toc114213708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b w:val="0"/>
          <w:sz w:val="21"/>
        </w:rPr>
      </w:pPr>
      <w:r>
        <w:fldChar w:fldCharType="begin"/>
      </w:r>
      <w:r>
        <w:instrText xml:space="preserve"> HYPERLINK \l "_Toc114213709" </w:instrText>
      </w:r>
      <w:r>
        <w:fldChar w:fldCharType="separate"/>
      </w:r>
      <w:r>
        <w:rPr>
          <w:rStyle w:val="23"/>
          <w:rFonts w:hint="eastAsia"/>
        </w:rPr>
        <w:t>二、主要任务</w:t>
      </w:r>
      <w:r>
        <w:tab/>
      </w:r>
      <w:r>
        <w:fldChar w:fldCharType="begin"/>
      </w:r>
      <w:r>
        <w:instrText xml:space="preserve"> PAGEREF _Toc114213709 \h </w:instrText>
      </w:r>
      <w:r>
        <w:fldChar w:fldCharType="separate"/>
      </w:r>
      <w:r>
        <w:t>5</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"_Toc114213710" </w:instrText>
      </w:r>
      <w:r>
        <w:fldChar w:fldCharType="separate"/>
      </w:r>
      <w:r>
        <w:rPr>
          <w:rStyle w:val="23"/>
          <w:rFonts w:hint="eastAsia"/>
        </w:rPr>
        <w:t>（一）培育优势产业，全面融入长春现代化都市圈建设</w:t>
      </w:r>
      <w:r>
        <w:tab/>
      </w:r>
      <w:r>
        <w:fldChar w:fldCharType="begin"/>
      </w:r>
      <w:r>
        <w:instrText xml:space="preserve"> PAGEREF _Toc114213710 \h </w:instrText>
      </w:r>
      <w:r>
        <w:fldChar w:fldCharType="separate"/>
      </w:r>
      <w:r>
        <w:t>5</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"_Toc114213711" </w:instrText>
      </w:r>
      <w:r>
        <w:fldChar w:fldCharType="separate"/>
      </w:r>
      <w:r>
        <w:rPr>
          <w:rStyle w:val="23"/>
        </w:rPr>
        <w:t>1.</w:t>
      </w:r>
      <w:r>
        <w:rPr>
          <w:rStyle w:val="23"/>
          <w:rFonts w:hint="eastAsia"/>
        </w:rPr>
        <w:t>提升商贸物流产业</w:t>
      </w:r>
      <w:r>
        <w:tab/>
      </w:r>
      <w:r>
        <w:fldChar w:fldCharType="begin"/>
      </w:r>
      <w:r>
        <w:instrText xml:space="preserve"> PAGEREF _Toc114213711 \h </w:instrText>
      </w:r>
      <w:r>
        <w:fldChar w:fldCharType="separate"/>
      </w:r>
      <w:r>
        <w:t>5</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"_Toc114213712" </w:instrText>
      </w:r>
      <w:r>
        <w:fldChar w:fldCharType="separate"/>
      </w:r>
      <w:r>
        <w:rPr>
          <w:rStyle w:val="23"/>
        </w:rPr>
        <w:t>2.</w:t>
      </w:r>
      <w:r>
        <w:rPr>
          <w:rStyle w:val="23"/>
          <w:rFonts w:hint="eastAsia"/>
        </w:rPr>
        <w:t>完善现代服务业</w:t>
      </w:r>
      <w:r>
        <w:tab/>
      </w:r>
      <w:r>
        <w:fldChar w:fldCharType="begin"/>
      </w:r>
      <w:r>
        <w:instrText xml:space="preserve"> PAGEREF _Toc114213712 \h </w:instrText>
      </w:r>
      <w:r>
        <w:fldChar w:fldCharType="separate"/>
      </w:r>
      <w:r>
        <w:t>6</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"_Toc114213713" </w:instrText>
      </w:r>
      <w:r>
        <w:fldChar w:fldCharType="separate"/>
      </w:r>
      <w:r>
        <w:rPr>
          <w:rStyle w:val="23"/>
          <w:rFonts w:hint="eastAsia"/>
        </w:rPr>
        <w:t>（二）做强制造业，支撑“双廊</w:t>
      </w:r>
      <w:r>
        <w:rPr>
          <w:rStyle w:val="23"/>
        </w:rPr>
        <w:t>”</w:t>
      </w:r>
      <w:r>
        <w:rPr>
          <w:rStyle w:val="23"/>
          <w:rFonts w:hint="eastAsia"/>
        </w:rPr>
        <w:t>建设</w:t>
      </w:r>
      <w:r>
        <w:tab/>
      </w:r>
      <w:r>
        <w:fldChar w:fldCharType="begin"/>
      </w:r>
      <w:r>
        <w:instrText xml:space="preserve"> PAGEREF _Toc114213713 \h </w:instrText>
      </w:r>
      <w:r>
        <w:fldChar w:fldCharType="separate"/>
      </w:r>
      <w:r>
        <w:t>11</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"_Toc114213714" </w:instrText>
      </w:r>
      <w:r>
        <w:fldChar w:fldCharType="separate"/>
      </w:r>
      <w:r>
        <w:rPr>
          <w:rStyle w:val="23"/>
        </w:rPr>
        <w:t>1.</w:t>
      </w:r>
      <w:r>
        <w:rPr>
          <w:rStyle w:val="23"/>
          <w:rFonts w:hint="eastAsia"/>
        </w:rPr>
        <w:t>壮大医药健康产业</w:t>
      </w:r>
      <w:r>
        <w:tab/>
      </w:r>
      <w:r>
        <w:fldChar w:fldCharType="begin"/>
      </w:r>
      <w:r>
        <w:instrText xml:space="preserve"> PAGEREF _Toc114213714 \h </w:instrText>
      </w:r>
      <w:r>
        <w:fldChar w:fldCharType="separate"/>
      </w:r>
      <w:r>
        <w:t>11</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"_Toc114213715" </w:instrText>
      </w:r>
      <w:r>
        <w:fldChar w:fldCharType="separate"/>
      </w:r>
      <w:r>
        <w:rPr>
          <w:rStyle w:val="23"/>
        </w:rPr>
        <w:t>2.</w:t>
      </w:r>
      <w:r>
        <w:rPr>
          <w:rStyle w:val="23"/>
          <w:rFonts w:hint="eastAsia"/>
        </w:rPr>
        <w:t>优化食品加工产业</w:t>
      </w:r>
      <w:r>
        <w:tab/>
      </w:r>
      <w:r>
        <w:fldChar w:fldCharType="begin"/>
      </w:r>
      <w:r>
        <w:instrText xml:space="preserve"> PAGEREF _Toc114213715 \h </w:instrText>
      </w:r>
      <w:r>
        <w:fldChar w:fldCharType="separate"/>
      </w:r>
      <w:r>
        <w:t>14</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"_Toc114213716" </w:instrText>
      </w:r>
      <w:r>
        <w:fldChar w:fldCharType="separate"/>
      </w:r>
      <w:r>
        <w:rPr>
          <w:rStyle w:val="23"/>
        </w:rPr>
        <w:t>3.</w:t>
      </w:r>
      <w:r>
        <w:rPr>
          <w:rStyle w:val="23"/>
          <w:rFonts w:hint="eastAsia"/>
        </w:rPr>
        <w:t>大力发展建筑及其配套产业和装备制造业</w:t>
      </w:r>
      <w:r>
        <w:tab/>
      </w:r>
      <w:r>
        <w:fldChar w:fldCharType="begin"/>
      </w:r>
      <w:r>
        <w:instrText xml:space="preserve"> PAGEREF _Toc114213716 \h </w:instrText>
      </w:r>
      <w:r>
        <w:fldChar w:fldCharType="separate"/>
      </w:r>
      <w:r>
        <w:t>17</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"_Toc114213717" </w:instrText>
      </w:r>
      <w:r>
        <w:fldChar w:fldCharType="separate"/>
      </w:r>
      <w:r>
        <w:rPr>
          <w:rStyle w:val="23"/>
        </w:rPr>
        <w:t>4.</w:t>
      </w:r>
      <w:r>
        <w:rPr>
          <w:rStyle w:val="23"/>
          <w:rFonts w:hint="eastAsia"/>
        </w:rPr>
        <w:t>加快发展新兴产业</w:t>
      </w:r>
      <w:r>
        <w:tab/>
      </w:r>
      <w:r>
        <w:fldChar w:fldCharType="begin"/>
      </w:r>
      <w:r>
        <w:instrText xml:space="preserve"> PAGEREF _Toc114213717 \h </w:instrText>
      </w:r>
      <w:r>
        <w:fldChar w:fldCharType="separate"/>
      </w:r>
      <w:r>
        <w:t>19</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"_Toc114213718" </w:instrText>
      </w:r>
      <w:r>
        <w:fldChar w:fldCharType="separate"/>
      </w:r>
      <w:r>
        <w:rPr>
          <w:rStyle w:val="23"/>
          <w:rFonts w:hint="eastAsia"/>
        </w:rPr>
        <w:t>（三）打造全域旅游，支撑东部环线发展</w:t>
      </w:r>
      <w:r>
        <w:tab/>
      </w:r>
      <w:r>
        <w:fldChar w:fldCharType="begin"/>
      </w:r>
      <w:r>
        <w:instrText xml:space="preserve"> PAGEREF _Toc114213718 \h </w:instrText>
      </w:r>
      <w:r>
        <w:fldChar w:fldCharType="separate"/>
      </w:r>
      <w:r>
        <w:t>20</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"_Toc114213719" </w:instrText>
      </w:r>
      <w:r>
        <w:fldChar w:fldCharType="separate"/>
      </w:r>
      <w:r>
        <w:rPr>
          <w:rStyle w:val="23"/>
        </w:rPr>
        <w:t>1.</w:t>
      </w:r>
      <w:r>
        <w:rPr>
          <w:rStyle w:val="23"/>
          <w:rFonts w:hint="eastAsia"/>
        </w:rPr>
        <w:t>巩固国家全域旅游示范区建设</w:t>
      </w:r>
      <w:r>
        <w:tab/>
      </w:r>
      <w:r>
        <w:fldChar w:fldCharType="begin"/>
      </w:r>
      <w:r>
        <w:instrText xml:space="preserve"> PAGEREF _Toc114213719 \h </w:instrText>
      </w:r>
      <w:r>
        <w:fldChar w:fldCharType="separate"/>
      </w:r>
      <w:r>
        <w:t>20</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"_Toc114213720" </w:instrText>
      </w:r>
      <w:r>
        <w:fldChar w:fldCharType="separate"/>
      </w:r>
      <w:r>
        <w:rPr>
          <w:rStyle w:val="23"/>
        </w:rPr>
        <w:t>2.</w:t>
      </w:r>
      <w:r>
        <w:rPr>
          <w:rStyle w:val="23"/>
          <w:rFonts w:hint="eastAsia"/>
        </w:rPr>
        <w:t>打造生态避暑休闲旅游</w:t>
      </w:r>
      <w:r>
        <w:tab/>
      </w:r>
      <w:r>
        <w:fldChar w:fldCharType="begin"/>
      </w:r>
      <w:r>
        <w:instrText xml:space="preserve"> PAGEREF _Toc114213720 \h </w:instrText>
      </w:r>
      <w:r>
        <w:fldChar w:fldCharType="separate"/>
      </w:r>
      <w:r>
        <w:t>21</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"_Toc114213721" </w:instrText>
      </w:r>
      <w:r>
        <w:fldChar w:fldCharType="separate"/>
      </w:r>
      <w:r>
        <w:rPr>
          <w:rStyle w:val="23"/>
        </w:rPr>
        <w:t>3.</w:t>
      </w:r>
      <w:r>
        <w:rPr>
          <w:rStyle w:val="23"/>
          <w:rFonts w:hint="eastAsia"/>
        </w:rPr>
        <w:t>发展特色健康养生旅游</w:t>
      </w:r>
      <w:r>
        <w:tab/>
      </w:r>
      <w:r>
        <w:fldChar w:fldCharType="begin"/>
      </w:r>
      <w:r>
        <w:instrText xml:space="preserve"> PAGEREF _Toc114213721 \h </w:instrText>
      </w:r>
      <w:r>
        <w:fldChar w:fldCharType="separate"/>
      </w:r>
      <w:r>
        <w:t>21</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"_Toc114213722" </w:instrText>
      </w:r>
      <w:r>
        <w:fldChar w:fldCharType="separate"/>
      </w:r>
      <w:r>
        <w:rPr>
          <w:rStyle w:val="23"/>
        </w:rPr>
        <w:t>4.</w:t>
      </w:r>
      <w:r>
        <w:rPr>
          <w:rStyle w:val="23"/>
          <w:rFonts w:hint="eastAsia"/>
        </w:rPr>
        <w:t>推进历史文化旅游发展</w:t>
      </w:r>
      <w:r>
        <w:tab/>
      </w:r>
      <w:r>
        <w:fldChar w:fldCharType="begin"/>
      </w:r>
      <w:r>
        <w:instrText xml:space="preserve"> PAGEREF _Toc114213722 \h </w:instrText>
      </w:r>
      <w:r>
        <w:fldChar w:fldCharType="separate"/>
      </w:r>
      <w:r>
        <w:t>22</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"_Toc114213723" </w:instrText>
      </w:r>
      <w:r>
        <w:fldChar w:fldCharType="separate"/>
      </w:r>
      <w:r>
        <w:rPr>
          <w:rStyle w:val="23"/>
        </w:rPr>
        <w:t>5.</w:t>
      </w:r>
      <w:r>
        <w:rPr>
          <w:rStyle w:val="23"/>
          <w:rFonts w:hint="eastAsia"/>
        </w:rPr>
        <w:t>拓展旅游业发展新领域</w:t>
      </w:r>
      <w:r>
        <w:tab/>
      </w:r>
      <w:r>
        <w:fldChar w:fldCharType="begin"/>
      </w:r>
      <w:r>
        <w:instrText xml:space="preserve"> PAGEREF _Toc114213723 \h </w:instrText>
      </w:r>
      <w:r>
        <w:fldChar w:fldCharType="separate"/>
      </w:r>
      <w:r>
        <w:t>23</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"_Toc114213724" </w:instrText>
      </w:r>
      <w:r>
        <w:fldChar w:fldCharType="separate"/>
      </w:r>
      <w:r>
        <w:rPr>
          <w:rStyle w:val="23"/>
        </w:rPr>
        <w:t>6.</w:t>
      </w:r>
      <w:r>
        <w:rPr>
          <w:rStyle w:val="23"/>
          <w:rFonts w:hint="eastAsia"/>
        </w:rPr>
        <w:t>完善旅游公共服务设施</w:t>
      </w:r>
      <w:r>
        <w:tab/>
      </w:r>
      <w:r>
        <w:fldChar w:fldCharType="begin"/>
      </w:r>
      <w:r>
        <w:instrText xml:space="preserve"> PAGEREF _Toc114213724 \h </w:instrText>
      </w:r>
      <w:r>
        <w:fldChar w:fldCharType="separate"/>
      </w:r>
      <w:r>
        <w:t>23</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"_Toc114213725" </w:instrText>
      </w:r>
      <w:r>
        <w:fldChar w:fldCharType="separate"/>
      </w:r>
      <w:r>
        <w:rPr>
          <w:rStyle w:val="23"/>
        </w:rPr>
        <w:t>7.</w:t>
      </w:r>
      <w:r>
        <w:rPr>
          <w:rStyle w:val="23"/>
          <w:rFonts w:hint="eastAsia"/>
        </w:rPr>
        <w:t>提升旅游发展要素水平</w:t>
      </w:r>
      <w:r>
        <w:tab/>
      </w:r>
      <w:r>
        <w:fldChar w:fldCharType="begin"/>
      </w:r>
      <w:r>
        <w:instrText xml:space="preserve"> PAGEREF _Toc114213725 \h </w:instrText>
      </w:r>
      <w:r>
        <w:fldChar w:fldCharType="separate"/>
      </w:r>
      <w:r>
        <w:t>24</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"_Toc114213726" </w:instrText>
      </w:r>
      <w:r>
        <w:fldChar w:fldCharType="separate"/>
      </w:r>
      <w:r>
        <w:rPr>
          <w:rStyle w:val="23"/>
        </w:rPr>
        <w:t>8.</w:t>
      </w:r>
      <w:r>
        <w:rPr>
          <w:rStyle w:val="23"/>
          <w:rFonts w:hint="eastAsia"/>
        </w:rPr>
        <w:t>实施旅游绿色发展战略</w:t>
      </w:r>
      <w:r>
        <w:tab/>
      </w:r>
      <w:r>
        <w:fldChar w:fldCharType="begin"/>
      </w:r>
      <w:r>
        <w:instrText xml:space="preserve"> PAGEREF _Toc114213726 \h </w:instrText>
      </w:r>
      <w:r>
        <w:fldChar w:fldCharType="separate"/>
      </w:r>
      <w:r>
        <w:t>25</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"_Toc114213727" </w:instrText>
      </w:r>
      <w:r>
        <w:fldChar w:fldCharType="separate"/>
      </w:r>
      <w:r>
        <w:rPr>
          <w:rStyle w:val="23"/>
          <w:rFonts w:hint="eastAsia"/>
        </w:rPr>
        <w:t>（四）构建优质交通网，拓展白松长通至辽宁大通道功能</w:t>
      </w:r>
      <w:r>
        <w:tab/>
      </w:r>
      <w:r>
        <w:fldChar w:fldCharType="begin"/>
      </w:r>
      <w:r>
        <w:instrText xml:space="preserve"> PAGEREF _Toc114213727 \h </w:instrText>
      </w:r>
      <w:r>
        <w:fldChar w:fldCharType="separate"/>
      </w:r>
      <w:r>
        <w:t>26</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"_Toc114213728" </w:instrText>
      </w:r>
      <w:r>
        <w:fldChar w:fldCharType="separate"/>
      </w:r>
      <w:r>
        <w:rPr>
          <w:rStyle w:val="23"/>
        </w:rPr>
        <w:t>1.</w:t>
      </w:r>
      <w:r>
        <w:rPr>
          <w:rStyle w:val="23"/>
          <w:rFonts w:hint="eastAsia"/>
        </w:rPr>
        <w:t>大力推进铁路建设</w:t>
      </w:r>
      <w:r>
        <w:tab/>
      </w:r>
      <w:r>
        <w:fldChar w:fldCharType="begin"/>
      </w:r>
      <w:r>
        <w:instrText xml:space="preserve"> PAGEREF _Toc114213728 \h </w:instrText>
      </w:r>
      <w:r>
        <w:fldChar w:fldCharType="separate"/>
      </w:r>
      <w:r>
        <w:t>26</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"_Toc114213729" </w:instrText>
      </w:r>
      <w:r>
        <w:fldChar w:fldCharType="separate"/>
      </w:r>
      <w:r>
        <w:rPr>
          <w:rStyle w:val="23"/>
        </w:rPr>
        <w:t>2.</w:t>
      </w:r>
      <w:r>
        <w:rPr>
          <w:rStyle w:val="23"/>
          <w:rFonts w:hint="eastAsia"/>
        </w:rPr>
        <w:t>加速完备公路网络</w:t>
      </w:r>
      <w:r>
        <w:tab/>
      </w:r>
      <w:r>
        <w:fldChar w:fldCharType="begin"/>
      </w:r>
      <w:r>
        <w:instrText xml:space="preserve"> PAGEREF _Toc114213729 \h </w:instrText>
      </w:r>
      <w:r>
        <w:fldChar w:fldCharType="separate"/>
      </w:r>
      <w:r>
        <w:t>26</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"_Toc114213730" </w:instrText>
      </w:r>
      <w:r>
        <w:fldChar w:fldCharType="separate"/>
      </w:r>
      <w:r>
        <w:rPr>
          <w:rStyle w:val="23"/>
        </w:rPr>
        <w:t>3.</w:t>
      </w:r>
      <w:r>
        <w:rPr>
          <w:rStyle w:val="23"/>
          <w:rFonts w:hint="eastAsia"/>
        </w:rPr>
        <w:t>提升运输服务品质</w:t>
      </w:r>
      <w:r>
        <w:tab/>
      </w:r>
      <w:r>
        <w:fldChar w:fldCharType="begin"/>
      </w:r>
      <w:r>
        <w:instrText xml:space="preserve"> PAGEREF _Toc114213730 \h </w:instrText>
      </w:r>
      <w:r>
        <w:fldChar w:fldCharType="separate"/>
      </w:r>
      <w:r>
        <w:t>26</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"_Toc114213731" </w:instrText>
      </w:r>
      <w:r>
        <w:fldChar w:fldCharType="separate"/>
      </w:r>
      <w:r>
        <w:rPr>
          <w:rStyle w:val="23"/>
        </w:rPr>
        <w:t>4.</w:t>
      </w:r>
      <w:r>
        <w:rPr>
          <w:rStyle w:val="23"/>
          <w:rFonts w:hint="eastAsia"/>
        </w:rPr>
        <w:t>积极发展绿色交通</w:t>
      </w:r>
      <w:r>
        <w:tab/>
      </w:r>
      <w:r>
        <w:fldChar w:fldCharType="begin"/>
      </w:r>
      <w:r>
        <w:instrText xml:space="preserve"> PAGEREF _Toc114213731 \h </w:instrText>
      </w:r>
      <w:r>
        <w:fldChar w:fldCharType="separate"/>
      </w:r>
      <w:r>
        <w:t>27</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"_Toc114213732" </w:instrText>
      </w:r>
      <w:r>
        <w:fldChar w:fldCharType="separate"/>
      </w:r>
      <w:r>
        <w:rPr>
          <w:rStyle w:val="23"/>
        </w:rPr>
        <w:t>5.</w:t>
      </w:r>
      <w:r>
        <w:rPr>
          <w:rStyle w:val="23"/>
          <w:rFonts w:hint="eastAsia"/>
        </w:rPr>
        <w:t>加快通用机场建设</w:t>
      </w:r>
      <w:r>
        <w:tab/>
      </w:r>
      <w:r>
        <w:fldChar w:fldCharType="begin"/>
      </w:r>
      <w:r>
        <w:instrText xml:space="preserve"> PAGEREF _Toc114213732 \h </w:instrText>
      </w:r>
      <w:r>
        <w:fldChar w:fldCharType="separate"/>
      </w:r>
      <w:r>
        <w:t>28</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"_Toc114213733" </w:instrText>
      </w:r>
      <w:r>
        <w:fldChar w:fldCharType="separate"/>
      </w:r>
      <w:r>
        <w:rPr>
          <w:rStyle w:val="23"/>
          <w:rFonts w:hint="eastAsia"/>
        </w:rPr>
        <w:t>（五）夯实农业基础，助力构建中西部粮食安全产业带</w:t>
      </w:r>
      <w:r>
        <w:tab/>
      </w:r>
      <w:r>
        <w:fldChar w:fldCharType="begin"/>
      </w:r>
      <w:r>
        <w:instrText xml:space="preserve"> PAGEREF _Toc114213733 \h </w:instrText>
      </w:r>
      <w:r>
        <w:fldChar w:fldCharType="separate"/>
      </w:r>
      <w:r>
        <w:t>28</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"_Toc114213734" </w:instrText>
      </w:r>
      <w:r>
        <w:fldChar w:fldCharType="separate"/>
      </w:r>
      <w:r>
        <w:rPr>
          <w:rStyle w:val="23"/>
        </w:rPr>
        <w:t>1.</w:t>
      </w:r>
      <w:r>
        <w:rPr>
          <w:rStyle w:val="23"/>
          <w:rFonts w:hint="eastAsia"/>
        </w:rPr>
        <w:t>推进粮食产业提质增效</w:t>
      </w:r>
      <w:r>
        <w:tab/>
      </w:r>
      <w:r>
        <w:fldChar w:fldCharType="begin"/>
      </w:r>
      <w:r>
        <w:instrText xml:space="preserve"> PAGEREF _Toc114213734 \h </w:instrText>
      </w:r>
      <w:r>
        <w:fldChar w:fldCharType="separate"/>
      </w:r>
      <w:r>
        <w:t>28</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"_Toc114213735" </w:instrText>
      </w:r>
      <w:r>
        <w:fldChar w:fldCharType="separate"/>
      </w:r>
      <w:r>
        <w:rPr>
          <w:rStyle w:val="23"/>
        </w:rPr>
        <w:t>2.</w:t>
      </w:r>
      <w:r>
        <w:rPr>
          <w:rStyle w:val="23"/>
          <w:rFonts w:hint="eastAsia"/>
        </w:rPr>
        <w:t>大力实施“十百千万”工程</w:t>
      </w:r>
      <w:r>
        <w:tab/>
      </w:r>
      <w:r>
        <w:fldChar w:fldCharType="begin"/>
      </w:r>
      <w:r>
        <w:instrText xml:space="preserve"> PAGEREF _Toc114213735 \h </w:instrText>
      </w:r>
      <w:r>
        <w:fldChar w:fldCharType="separate"/>
      </w:r>
      <w:r>
        <w:t>28</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"_Toc114213736" </w:instrText>
      </w:r>
      <w:r>
        <w:fldChar w:fldCharType="separate"/>
      </w:r>
      <w:r>
        <w:rPr>
          <w:rStyle w:val="23"/>
        </w:rPr>
        <w:t>3.</w:t>
      </w:r>
      <w:r>
        <w:rPr>
          <w:rStyle w:val="23"/>
          <w:rFonts w:hint="eastAsia"/>
        </w:rPr>
        <w:t>加快发展特色农业产业</w:t>
      </w:r>
      <w:r>
        <w:tab/>
      </w:r>
      <w:r>
        <w:fldChar w:fldCharType="begin"/>
      </w:r>
      <w:r>
        <w:instrText xml:space="preserve"> PAGEREF _Toc114213736 \h </w:instrText>
      </w:r>
      <w:r>
        <w:fldChar w:fldCharType="separate"/>
      </w:r>
      <w:r>
        <w:t>29</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"_Toc114213737" </w:instrText>
      </w:r>
      <w:r>
        <w:fldChar w:fldCharType="separate"/>
      </w:r>
      <w:r>
        <w:rPr>
          <w:rStyle w:val="23"/>
        </w:rPr>
        <w:t>4.</w:t>
      </w:r>
      <w:r>
        <w:rPr>
          <w:rStyle w:val="23"/>
          <w:rFonts w:hint="eastAsia"/>
        </w:rPr>
        <w:t>推进农村一二三产业融合发展</w:t>
      </w:r>
      <w:r>
        <w:tab/>
      </w:r>
      <w:r>
        <w:fldChar w:fldCharType="begin"/>
      </w:r>
      <w:r>
        <w:instrText xml:space="preserve"> PAGEREF _Toc114213737 \h </w:instrText>
      </w:r>
      <w:r>
        <w:fldChar w:fldCharType="separate"/>
      </w:r>
      <w:r>
        <w:t>30</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"_Toc114213738" </w:instrText>
      </w:r>
      <w:r>
        <w:fldChar w:fldCharType="separate"/>
      </w:r>
      <w:r>
        <w:rPr>
          <w:rStyle w:val="23"/>
        </w:rPr>
        <w:t>5.</w:t>
      </w:r>
      <w:r>
        <w:rPr>
          <w:rStyle w:val="23"/>
          <w:rFonts w:hint="eastAsia"/>
        </w:rPr>
        <w:t>加强黑土地保护利用</w:t>
      </w:r>
      <w:r>
        <w:tab/>
      </w:r>
      <w:r>
        <w:fldChar w:fldCharType="begin"/>
      </w:r>
      <w:r>
        <w:instrText xml:space="preserve"> PAGEREF _Toc114213738 \h </w:instrText>
      </w:r>
      <w:r>
        <w:fldChar w:fldCharType="separate"/>
      </w:r>
      <w:r>
        <w:t>30</w:t>
      </w:r>
      <w:r>
        <w:fldChar w:fldCharType="end"/>
      </w:r>
      <w:r>
        <w:fldChar w:fldCharType="end"/>
      </w:r>
    </w:p>
    <w:p>
      <w:pPr>
        <w:pStyle w:val="6"/>
        <w:tabs>
          <w:tab w:val="right" w:leader="dot" w:pos="8296"/>
        </w:tabs>
        <w:ind w:left="640" w:firstLine="560"/>
        <w:rPr>
          <w:rFonts w:asciiTheme="minorHAnsi" w:hAnsiTheme="minorHAnsi" w:eastAsiaTheme="minorEastAsia" w:cstheme="minorBidi"/>
          <w:sz w:val="21"/>
        </w:rPr>
      </w:pPr>
      <w:r>
        <w:fldChar w:fldCharType="begin"/>
      </w:r>
      <w:r>
        <w:instrText xml:space="preserve"> HYPERLINK \l "_Toc114213739" </w:instrText>
      </w:r>
      <w:r>
        <w:fldChar w:fldCharType="separate"/>
      </w:r>
      <w:r>
        <w:rPr>
          <w:rStyle w:val="23"/>
        </w:rPr>
        <w:t>6.</w:t>
      </w:r>
      <w:r>
        <w:rPr>
          <w:rStyle w:val="23"/>
          <w:rFonts w:hint="eastAsia"/>
        </w:rPr>
        <w:t>完善农业基础设施</w:t>
      </w:r>
      <w:r>
        <w:tab/>
      </w:r>
      <w:r>
        <w:fldChar w:fldCharType="begin"/>
      </w:r>
      <w:r>
        <w:instrText xml:space="preserve"> PAGEREF _Toc114213739 \h </w:instrText>
      </w:r>
      <w:r>
        <w:fldChar w:fldCharType="separate"/>
      </w:r>
      <w:r>
        <w:t>31</w:t>
      </w:r>
      <w:r>
        <w:fldChar w:fldCharType="end"/>
      </w:r>
      <w:r>
        <w:fldChar w:fldCharType="end"/>
      </w:r>
    </w:p>
    <w:p>
      <w:pPr>
        <w:pStyle w:val="10"/>
        <w:tabs>
          <w:tab w:val="right" w:leader="dot" w:pos="8296"/>
        </w:tabs>
        <w:rPr>
          <w:rFonts w:asciiTheme="minorHAnsi" w:hAnsiTheme="minorHAnsi" w:eastAsiaTheme="minorEastAsia" w:cstheme="minorBidi"/>
          <w:b w:val="0"/>
          <w:sz w:val="21"/>
        </w:rPr>
      </w:pPr>
      <w:r>
        <w:fldChar w:fldCharType="begin"/>
      </w:r>
      <w:r>
        <w:instrText xml:space="preserve"> HYPERLINK \l "_Toc114213740" </w:instrText>
      </w:r>
      <w:r>
        <w:fldChar w:fldCharType="separate"/>
      </w:r>
      <w:r>
        <w:rPr>
          <w:rStyle w:val="23"/>
          <w:rFonts w:hint="eastAsia"/>
        </w:rPr>
        <w:t>三、组织实施</w:t>
      </w:r>
      <w:r>
        <w:tab/>
      </w:r>
      <w:r>
        <w:fldChar w:fldCharType="begin"/>
      </w:r>
      <w:r>
        <w:instrText xml:space="preserve"> PAGEREF _Toc114213740 \h </w:instrText>
      </w:r>
      <w:r>
        <w:fldChar w:fldCharType="separate"/>
      </w:r>
      <w:r>
        <w:t>32</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"_Toc114213741" </w:instrText>
      </w:r>
      <w:r>
        <w:fldChar w:fldCharType="separate"/>
      </w:r>
      <w:r>
        <w:rPr>
          <w:rStyle w:val="23"/>
          <w:rFonts w:hint="eastAsia"/>
        </w:rPr>
        <w:t>（一）加强组织领导</w:t>
      </w:r>
      <w:r>
        <w:tab/>
      </w:r>
      <w:r>
        <w:fldChar w:fldCharType="begin"/>
      </w:r>
      <w:r>
        <w:instrText xml:space="preserve"> PAGEREF _Toc114213741 \h </w:instrText>
      </w:r>
      <w:r>
        <w:fldChar w:fldCharType="separate"/>
      </w:r>
      <w:r>
        <w:t>32</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"_Toc114213742" </w:instrText>
      </w:r>
      <w:r>
        <w:fldChar w:fldCharType="separate"/>
      </w:r>
      <w:r>
        <w:rPr>
          <w:rStyle w:val="23"/>
          <w:rFonts w:hint="eastAsia"/>
        </w:rPr>
        <w:t>（二）强化责任分工</w:t>
      </w:r>
      <w:r>
        <w:tab/>
      </w:r>
      <w:r>
        <w:fldChar w:fldCharType="begin"/>
      </w:r>
      <w:r>
        <w:instrText xml:space="preserve"> PAGEREF _Toc114213742 \h </w:instrText>
      </w:r>
      <w:r>
        <w:fldChar w:fldCharType="separate"/>
      </w:r>
      <w:r>
        <w:t>32</w:t>
      </w:r>
      <w:r>
        <w:fldChar w:fldCharType="end"/>
      </w:r>
      <w:r>
        <w:fldChar w:fldCharType="end"/>
      </w:r>
    </w:p>
    <w:p>
      <w:pPr>
        <w:pStyle w:val="11"/>
        <w:tabs>
          <w:tab w:val="right" w:leader="dot" w:pos="8296"/>
        </w:tabs>
        <w:ind w:firstLine="602"/>
        <w:rPr>
          <w:rFonts w:asciiTheme="minorHAnsi" w:hAnsiTheme="minorHAnsi" w:eastAsiaTheme="minorEastAsia" w:cstheme="minorBidi"/>
          <w:b w:val="0"/>
          <w:sz w:val="21"/>
        </w:rPr>
      </w:pPr>
      <w:r>
        <w:fldChar w:fldCharType="begin"/>
      </w:r>
      <w:r>
        <w:instrText xml:space="preserve"> HYPERLINK \l "_Toc114213743" </w:instrText>
      </w:r>
      <w:r>
        <w:fldChar w:fldCharType="separate"/>
      </w:r>
      <w:r>
        <w:rPr>
          <w:rStyle w:val="23"/>
          <w:rFonts w:hint="eastAsia"/>
        </w:rPr>
        <w:t>（三）加大政策支持</w:t>
      </w:r>
      <w:r>
        <w:tab/>
      </w:r>
      <w:r>
        <w:fldChar w:fldCharType="begin"/>
      </w:r>
      <w:r>
        <w:instrText xml:space="preserve"> PAGEREF _Toc114213743 \h </w:instrText>
      </w:r>
      <w:r>
        <w:fldChar w:fldCharType="separate"/>
      </w:r>
      <w:r>
        <w:t>33</w:t>
      </w:r>
      <w:r>
        <w:fldChar w:fldCharType="end"/>
      </w:r>
      <w:r>
        <w:fldChar w:fldCharType="end"/>
      </w:r>
    </w:p>
    <w:p>
      <w:pPr>
        <w:pStyle w:val="11"/>
        <w:tabs>
          <w:tab w:val="right" w:leader="dot" w:pos="8296"/>
        </w:tabs>
        <w:ind w:firstLine="641" w:firstLineChars="213"/>
        <w:rPr>
          <w:rFonts w:asciiTheme="minorHAnsi" w:hAnsiTheme="minorHAnsi" w:eastAsiaTheme="minorEastAsia" w:cstheme="minorBidi"/>
          <w:b w:val="0"/>
          <w:sz w:val="21"/>
        </w:rPr>
      </w:pPr>
      <w:r>
        <w:fldChar w:fldCharType="begin"/>
      </w:r>
      <w:r>
        <w:instrText xml:space="preserve"> HYPERLINK \l "_Toc114213744" </w:instrText>
      </w:r>
      <w:r>
        <w:fldChar w:fldCharType="separate"/>
      </w:r>
      <w:r>
        <w:rPr>
          <w:rStyle w:val="23"/>
          <w:rFonts w:hint="eastAsia"/>
        </w:rPr>
        <w:t>（四）加强监督考核</w:t>
      </w:r>
      <w:r>
        <w:tab/>
      </w:r>
      <w:r>
        <w:fldChar w:fldCharType="begin"/>
      </w:r>
      <w:r>
        <w:instrText xml:space="preserve"> PAGEREF _Toc114213744 \h </w:instrText>
      </w:r>
      <w:r>
        <w:fldChar w:fldCharType="separate"/>
      </w:r>
      <w:r>
        <w:t>33</w:t>
      </w:r>
      <w:r>
        <w:fldChar w:fldCharType="end"/>
      </w:r>
      <w:r>
        <w:fldChar w:fldCharType="end"/>
      </w:r>
    </w:p>
    <w:p>
      <w:pPr>
        <w:ind w:firstLine="640"/>
      </w:pPr>
      <w:r>
        <w:fldChar w:fldCharType="end"/>
      </w:r>
    </w:p>
    <w:p>
      <w:pPr>
        <w:ind w:firstLine="640"/>
      </w:pPr>
    </w:p>
    <w:p>
      <w:pPr>
        <w:ind w:firstLine="640"/>
        <w:sectPr>
          <w:footerReference r:id="rId11" w:type="default"/>
          <w:pgSz w:w="11906" w:h="16838"/>
          <w:pgMar w:top="1440" w:right="1800" w:bottom="1440" w:left="1800" w:header="851" w:footer="992" w:gutter="0"/>
          <w:pgNumType w:fmt="upperRoman" w:start="1"/>
          <w:cols w:space="720" w:num="1"/>
          <w:docGrid w:type="lines" w:linePitch="312" w:charSpace="0"/>
        </w:sectPr>
      </w:pPr>
    </w:p>
    <w:p>
      <w:pPr>
        <w:pStyle w:val="2"/>
        <w:spacing w:before="156" w:after="156"/>
        <w:ind w:firstLine="0" w:firstLineChars="0"/>
        <w:jc w:val="center"/>
      </w:pPr>
      <w:bookmarkStart w:id="0" w:name="_Toc114213704"/>
      <w:r>
        <w:t>前  言</w:t>
      </w:r>
      <w:bookmarkEnd w:id="0"/>
    </w:p>
    <w:p>
      <w:pPr>
        <w:ind w:firstLine="640"/>
      </w:pPr>
      <w:r>
        <w:rPr>
          <w:rFonts w:hint="eastAsia"/>
        </w:rPr>
        <w:t>“一主六双”高质量发展战略</w:t>
      </w:r>
      <w:r>
        <w:t>是吉林省委、省政府统筹</w:t>
      </w:r>
      <w:r>
        <w:rPr>
          <w:rFonts w:hint="eastAsia"/>
        </w:rPr>
        <w:t>“</w:t>
      </w:r>
      <w:r>
        <w:t>三个五</w:t>
      </w:r>
      <w:r>
        <w:rPr>
          <w:rFonts w:hint="eastAsia"/>
        </w:rPr>
        <w:t>”</w:t>
      </w:r>
      <w:r>
        <w:t>发展战略、长吉图开发开放战略、推动经济高质量发展、实现吉林全面振兴全方位振兴作出的重大决策，是中东西</w:t>
      </w:r>
      <w:r>
        <w:rPr>
          <w:rFonts w:hint="eastAsia"/>
        </w:rPr>
        <w:t>“</w:t>
      </w:r>
      <w:r>
        <w:t>三大板块</w:t>
      </w:r>
      <w:r>
        <w:rPr>
          <w:rFonts w:hint="eastAsia"/>
        </w:rPr>
        <w:t>”</w:t>
      </w:r>
      <w:r>
        <w:t>建设的载体，符合吉林省产业发展基础和未来转型升级需要，对发挥各地区位特点、资源禀赋、产业基础和交通设施优势，加强区域互动互补、协同多赢，保持经济社会平稳发展、更好满足人民日益增长的美好生活需要意义重大。</w:t>
      </w:r>
    </w:p>
    <w:p>
      <w:pPr>
        <w:ind w:firstLine="640"/>
        <w:rPr>
          <w:szCs w:val="32"/>
        </w:rPr>
      </w:pPr>
      <w:r>
        <w:rPr>
          <w:szCs w:val="32"/>
        </w:rPr>
        <w:t>梅河口市在</w:t>
      </w:r>
      <w:r>
        <w:rPr>
          <w:rFonts w:hint="eastAsia"/>
          <w:szCs w:val="32"/>
        </w:rPr>
        <w:t>“</w:t>
      </w:r>
      <w:r>
        <w:rPr>
          <w:szCs w:val="32"/>
        </w:rPr>
        <w:t>一主六双</w:t>
      </w:r>
      <w:r>
        <w:rPr>
          <w:rFonts w:hint="eastAsia"/>
          <w:szCs w:val="32"/>
        </w:rPr>
        <w:t>”</w:t>
      </w:r>
      <w:r>
        <w:rPr>
          <w:szCs w:val="32"/>
        </w:rPr>
        <w:t>区域协调发展格局中起到重要作用，是</w:t>
      </w:r>
      <w:r>
        <w:rPr>
          <w:rFonts w:hint="eastAsia"/>
          <w:szCs w:val="32"/>
        </w:rPr>
        <w:t>长春现代化都市圈、</w:t>
      </w:r>
      <w:r>
        <w:rPr>
          <w:szCs w:val="32"/>
        </w:rPr>
        <w:t>环长春四辽吉松工业走廊、</w:t>
      </w:r>
      <w:r>
        <w:rPr>
          <w:rFonts w:hint="eastAsia"/>
          <w:szCs w:val="32"/>
        </w:rPr>
        <w:t>长辽梅通白延医药健康产业走廊</w:t>
      </w:r>
      <w:r>
        <w:rPr>
          <w:szCs w:val="32"/>
        </w:rPr>
        <w:t>、</w:t>
      </w:r>
      <w:bookmarkStart w:id="1" w:name="_Hlk4497981"/>
      <w:r>
        <w:rPr>
          <w:szCs w:val="32"/>
        </w:rPr>
        <w:t>长通白延吉长避暑冰雪生态旅游大环线</w:t>
      </w:r>
      <w:bookmarkEnd w:id="1"/>
      <w:r>
        <w:rPr>
          <w:szCs w:val="32"/>
        </w:rPr>
        <w:t>、</w:t>
      </w:r>
      <w:r>
        <w:rPr>
          <w:rFonts w:hint="eastAsia"/>
          <w:szCs w:val="32"/>
        </w:rPr>
        <w:t>白松长通至辽宁（丹东港、营口港、大连港）大通道、中西部粮食安全产业带“一圈、</w:t>
      </w:r>
      <w:r>
        <w:rPr>
          <w:szCs w:val="32"/>
        </w:rPr>
        <w:t>一线、一道、双廊</w:t>
      </w:r>
      <w:r>
        <w:rPr>
          <w:rFonts w:hint="eastAsia"/>
          <w:szCs w:val="32"/>
        </w:rPr>
        <w:t>、一带”</w:t>
      </w:r>
      <w:r>
        <w:rPr>
          <w:szCs w:val="32"/>
        </w:rPr>
        <w:t>的重要节点城市，承担促进医药健康产业、食品加工产业、旅游业、现代服务业</w:t>
      </w:r>
      <w:r>
        <w:rPr>
          <w:rFonts w:hint="eastAsia"/>
          <w:szCs w:val="32"/>
        </w:rPr>
        <w:t>、现代农业</w:t>
      </w:r>
      <w:r>
        <w:rPr>
          <w:szCs w:val="32"/>
        </w:rPr>
        <w:t>转型升级的重任，对促进长白通（丹）大通道布局更加完善、服务能力进一步提升起到一定的推动作用。为深入贯彻落实《</w:t>
      </w:r>
      <w:r>
        <w:rPr>
          <w:rFonts w:hint="eastAsia"/>
          <w:szCs w:val="32"/>
        </w:rPr>
        <w:t>“一主六双”高质量发展战略</w:t>
      </w:r>
      <w:r>
        <w:rPr>
          <w:szCs w:val="32"/>
        </w:rPr>
        <w:t>》（以下简称《</w:t>
      </w:r>
      <w:r>
        <w:rPr>
          <w:rFonts w:hint="eastAsia"/>
          <w:szCs w:val="32"/>
        </w:rPr>
        <w:t>战略</w:t>
      </w:r>
      <w:r>
        <w:rPr>
          <w:szCs w:val="32"/>
        </w:rPr>
        <w:t>》），加快推进梅河口市全面振兴全方位振兴和高质量发展步伐，强化重点工作任务落实，结合梅河口市实际，特制定本方案。</w:t>
      </w:r>
    </w:p>
    <w:p>
      <w:pPr>
        <w:ind w:firstLine="0" w:firstLineChars="0"/>
        <w:rPr>
          <w:rFonts w:eastAsia="黑体"/>
          <w:szCs w:val="32"/>
        </w:rPr>
      </w:pPr>
    </w:p>
    <w:p>
      <w:pPr>
        <w:pStyle w:val="2"/>
        <w:spacing w:before="156" w:after="156"/>
        <w:ind w:firstLine="723"/>
        <w:sectPr>
          <w:pgSz w:w="11906" w:h="16838"/>
          <w:pgMar w:top="1440" w:right="1800" w:bottom="1440" w:left="1800" w:header="851" w:footer="992" w:gutter="0"/>
          <w:pgNumType w:start="1"/>
          <w:cols w:space="720" w:num="1"/>
          <w:docGrid w:type="lines" w:linePitch="312" w:charSpace="0"/>
        </w:sectPr>
      </w:pPr>
    </w:p>
    <w:p>
      <w:pPr>
        <w:pStyle w:val="2"/>
        <w:spacing w:beforeLines="0" w:afterLines="0"/>
        <w:ind w:firstLine="723"/>
      </w:pPr>
      <w:bookmarkStart w:id="2" w:name="_Toc114213705"/>
      <w:r>
        <w:t>一、总体要求</w:t>
      </w:r>
      <w:bookmarkEnd w:id="2"/>
    </w:p>
    <w:p>
      <w:pPr>
        <w:pStyle w:val="3"/>
        <w:ind w:firstLine="643"/>
        <w:rPr>
          <w:rStyle w:val="28"/>
          <w:b/>
          <w:bCs/>
        </w:rPr>
      </w:pPr>
      <w:bookmarkStart w:id="3" w:name="_Toc114213706"/>
      <w:r>
        <w:t>（一）</w:t>
      </w:r>
      <w:r>
        <w:rPr>
          <w:rStyle w:val="28"/>
          <w:b/>
          <w:bCs/>
        </w:rPr>
        <w:t>指导思想</w:t>
      </w:r>
      <w:bookmarkEnd w:id="3"/>
      <w:r>
        <w:rPr>
          <w:rStyle w:val="28"/>
          <w:rFonts w:hint="eastAsia"/>
          <w:b/>
          <w:bCs/>
        </w:rPr>
        <w:t>。</w:t>
      </w:r>
    </w:p>
    <w:p>
      <w:pPr>
        <w:ind w:firstLine="640"/>
      </w:pPr>
      <w:r>
        <w:t>深入贯彻习近平新时代中国特色社会主义思想</w:t>
      </w:r>
      <w:r>
        <w:rPr>
          <w:rFonts w:hint="eastAsia"/>
        </w:rPr>
        <w:t>，</w:t>
      </w:r>
      <w:r>
        <w:t>认真落实</w:t>
      </w:r>
      <w:r>
        <w:rPr>
          <w:rFonts w:hint="eastAsia"/>
        </w:rPr>
        <w:t>党的十九大精神和党的二十大精神</w:t>
      </w:r>
      <w:bookmarkStart w:id="62" w:name="_GoBack"/>
      <w:bookmarkEnd w:id="62"/>
      <w:r>
        <w:t>，</w:t>
      </w:r>
      <w:r>
        <w:rPr>
          <w:rFonts w:hint="eastAsia"/>
        </w:rPr>
        <w:t>深入贯彻习近平总书记视察吉林重要讲话和重要指示精神</w:t>
      </w:r>
      <w:r>
        <w:t>，坚持</w:t>
      </w:r>
      <w:r>
        <w:rPr>
          <w:rFonts w:hint="eastAsia"/>
        </w:rPr>
        <w:t>“</w:t>
      </w:r>
      <w:r>
        <w:t>创新、协调、绿色、开放、共享</w:t>
      </w:r>
      <w:r>
        <w:rPr>
          <w:rFonts w:hint="eastAsia"/>
        </w:rPr>
        <w:t>”</w:t>
      </w:r>
      <w:r>
        <w:t>五大发展理念，坚持推动高质量发展要求，坚持推进新旧动能转换创新发展，牢牢把握保持经济中高速增长、争创全国先进水平两条主线，</w:t>
      </w:r>
      <w:r>
        <w:rPr>
          <w:rFonts w:hint="eastAsia"/>
        </w:rPr>
        <w:t>以建设“梅河新区和现代化区域中心城市、高质量发展先行示范区”为总目标</w:t>
      </w:r>
      <w:r>
        <w:t>，</w:t>
      </w:r>
      <w:r>
        <w:rPr>
          <w:rFonts w:hint="eastAsia"/>
        </w:rPr>
        <w:t>坚定不移贯彻执行“三三四四五五”战略布局，</w:t>
      </w:r>
      <w:r>
        <w:t>落实</w:t>
      </w:r>
      <w:r>
        <w:rPr>
          <w:rFonts w:hint="eastAsia"/>
        </w:rPr>
        <w:t>“一主六双高质量发展战略”</w:t>
      </w:r>
      <w:r>
        <w:t>部署，加快推动产业发展，</w:t>
      </w:r>
      <w:r>
        <w:rPr>
          <w:rFonts w:hint="eastAsia"/>
        </w:rPr>
        <w:t>对接长春现代化都市圈，</w:t>
      </w:r>
      <w:r>
        <w:t>全面融入</w:t>
      </w:r>
      <w:r>
        <w:rPr>
          <w:rFonts w:hint="eastAsia"/>
        </w:rPr>
        <w:t>“</w:t>
      </w:r>
      <w:r>
        <w:t>双廊</w:t>
      </w:r>
      <w:r>
        <w:rPr>
          <w:rFonts w:hint="eastAsia"/>
        </w:rPr>
        <w:t>”</w:t>
      </w:r>
      <w:r>
        <w:t>建设，打造生态旅游，构建优质交通网，</w:t>
      </w:r>
      <w:r>
        <w:rPr>
          <w:rFonts w:hint="eastAsia"/>
        </w:rPr>
        <w:t>夯实农业基础，</w:t>
      </w:r>
      <w:r>
        <w:t>将梅河口市打造成为</w:t>
      </w:r>
      <w:r>
        <w:rPr>
          <w:rFonts w:hint="eastAsia"/>
        </w:rPr>
        <w:t>“一圈、</w:t>
      </w:r>
      <w:r>
        <w:t>一线、一道、双廊</w:t>
      </w:r>
      <w:r>
        <w:rPr>
          <w:rFonts w:hint="eastAsia"/>
        </w:rPr>
        <w:t>、一带”</w:t>
      </w:r>
      <w:r>
        <w:t>建设的重要节点城市。</w:t>
      </w:r>
    </w:p>
    <w:p>
      <w:pPr>
        <w:pStyle w:val="3"/>
        <w:ind w:firstLine="643"/>
      </w:pPr>
      <w:bookmarkStart w:id="4" w:name="_Toc114213707"/>
      <w:r>
        <w:t>（二）基本原则</w:t>
      </w:r>
      <w:bookmarkEnd w:id="4"/>
      <w:r>
        <w:rPr>
          <w:rFonts w:hint="eastAsia"/>
        </w:rPr>
        <w:t>。</w:t>
      </w:r>
    </w:p>
    <w:p>
      <w:pPr>
        <w:ind w:firstLine="643"/>
        <w:rPr>
          <w:bCs/>
        </w:rPr>
      </w:pPr>
      <w:r>
        <w:rPr>
          <w:rFonts w:hint="eastAsia"/>
          <w:b/>
        </w:rPr>
        <w:t>坚持项目为纲，全面推进。</w:t>
      </w:r>
      <w:r>
        <w:rPr>
          <w:rFonts w:hint="eastAsia"/>
          <w:bCs/>
        </w:rPr>
        <w:t>把项目建设作为稳增长的有力抓手，积极谋项目、上项目、建项目，完善充实项目储备库，进一步加大招商引资力度，为高质量发展注入新动能。同时强化要素保障，为项目建设提供全天候、全方位、全过程的保姆式服务，全面推进项目建设提速提质增效。</w:t>
      </w:r>
    </w:p>
    <w:p>
      <w:pPr>
        <w:ind w:firstLine="643"/>
      </w:pPr>
      <w:r>
        <w:rPr>
          <w:b/>
        </w:rPr>
        <w:t>坚持创新驱动，</w:t>
      </w:r>
      <w:r>
        <w:rPr>
          <w:rFonts w:hint="eastAsia"/>
          <w:b/>
        </w:rPr>
        <w:t>智慧</w:t>
      </w:r>
      <w:r>
        <w:rPr>
          <w:b/>
        </w:rPr>
        <w:t>引领。</w:t>
      </w:r>
      <w:r>
        <w:t>坚持创新发展，注重协同创新，增强企业科技创新能力和技术成果转化能力，为实现产业转型升级提供强劲动力。聚焦</w:t>
      </w:r>
      <w:r>
        <w:rPr>
          <w:rFonts w:hint="eastAsia"/>
        </w:rPr>
        <w:t>“</w:t>
      </w:r>
      <w:r>
        <w:t>数字梅河口</w:t>
      </w:r>
      <w:r>
        <w:rPr>
          <w:rFonts w:hint="eastAsia"/>
        </w:rPr>
        <w:t>”</w:t>
      </w:r>
      <w:r>
        <w:t>战略部署，推动</w:t>
      </w:r>
      <w:r>
        <w:rPr>
          <w:rFonts w:hint="eastAsia"/>
        </w:rPr>
        <w:t>“</w:t>
      </w:r>
      <w:r>
        <w:t>产业+数字</w:t>
      </w:r>
      <w:r>
        <w:rPr>
          <w:rFonts w:hint="eastAsia"/>
        </w:rPr>
        <w:t>”和“</w:t>
      </w:r>
      <w:r>
        <w:t>数字+产业</w:t>
      </w:r>
      <w:r>
        <w:rPr>
          <w:rFonts w:hint="eastAsia"/>
        </w:rPr>
        <w:t>”</w:t>
      </w:r>
      <w:r>
        <w:t>，加强数字基础设施和体制机制建设，推动梅河口市经济高质量发展。</w:t>
      </w:r>
    </w:p>
    <w:p>
      <w:pPr>
        <w:ind w:firstLine="643"/>
      </w:pPr>
      <w:r>
        <w:rPr>
          <w:b/>
        </w:rPr>
        <w:t>坚持发挥优势，错位发展。</w:t>
      </w:r>
      <w:r>
        <w:t>立足梅河口市产业发展实际，整合地区优势，大力培育各产业的比较优势，突出特色，稳步推进，做大做强优势特色产业，培育发展战略性新兴产业，形成独具特色、具有核心竞争力的产业集群。</w:t>
      </w:r>
    </w:p>
    <w:p>
      <w:pPr>
        <w:ind w:firstLine="643"/>
      </w:pPr>
      <w:r>
        <w:rPr>
          <w:b/>
        </w:rPr>
        <w:t>坚持全面推进，重点突破。</w:t>
      </w:r>
      <w:r>
        <w:t>优化空间发展布局，统筹安排发展目标、建设时序和主要任务，集中力量在</w:t>
      </w:r>
      <w:r>
        <w:rPr>
          <w:rFonts w:hint="eastAsia"/>
        </w:rPr>
        <w:t>“4+3”产业等</w:t>
      </w:r>
      <w:r>
        <w:t>重点领域和关键环节率先取得突破，引领产业发展。</w:t>
      </w:r>
    </w:p>
    <w:p>
      <w:pPr>
        <w:ind w:firstLine="643"/>
      </w:pPr>
      <w:r>
        <w:rPr>
          <w:b/>
        </w:rPr>
        <w:t>坚持以人为本，绿色发展。</w:t>
      </w:r>
      <w:r>
        <w:t>将改善人民生活、实现基本公共服务均等化摆在突出位置，以建设资源节约型和环境友好型社会为着力点，突出产业发展生态化、生态建设产业化，加强生态环境保护和资源合理利用，推进产业转型，实现经济社会绿色发展。</w:t>
      </w:r>
    </w:p>
    <w:p>
      <w:pPr>
        <w:pStyle w:val="3"/>
        <w:ind w:firstLine="643"/>
      </w:pPr>
      <w:bookmarkStart w:id="5" w:name="_Toc114213708"/>
      <w:r>
        <w:t>（三）发展目标</w:t>
      </w:r>
      <w:bookmarkEnd w:id="5"/>
      <w:r>
        <w:rPr>
          <w:rFonts w:hint="eastAsia"/>
        </w:rPr>
        <w:t>。</w:t>
      </w:r>
    </w:p>
    <w:p>
      <w:pPr>
        <w:ind w:firstLine="640"/>
      </w:pPr>
      <w:r>
        <w:t>202</w:t>
      </w:r>
      <w:r>
        <w:rPr>
          <w:rFonts w:hint="eastAsia"/>
        </w:rPr>
        <w:t>2</w:t>
      </w:r>
      <w:r>
        <w:t>年，</w:t>
      </w:r>
      <w:r>
        <w:rPr>
          <w:rFonts w:hint="eastAsia"/>
        </w:rPr>
        <w:t>实现医药健康、食品加工、商贸物流、现代服务业四大主导产业提档升级，旅游产业加快发展，装备制造业、建筑及其配套产业初具规模，逐步发展，形成“4+3+N”产业新局面。</w:t>
      </w:r>
      <w:r>
        <w:t>形成中药、生物制药、化学药、医疗器械、健康产品和服务等产业集聚发展的医药健康产业集群；食品加工业实力显著增强，初加工和精深加工转型升级加快；</w:t>
      </w:r>
      <w:r>
        <w:rPr>
          <w:rFonts w:hint="eastAsia"/>
        </w:rPr>
        <w:t>商贸物流配套设施不断完善，</w:t>
      </w:r>
      <w:r>
        <w:t>现代服务业质量明显提升，对全市经济社会发展的带动作用明显增强；初步构建全域旅游发展格局，</w:t>
      </w:r>
      <w:r>
        <w:rPr>
          <w:rFonts w:hint="eastAsia"/>
        </w:rPr>
        <w:t>梅河</w:t>
      </w:r>
      <w:r>
        <w:t>品牌形象进一步提升</w:t>
      </w:r>
      <w:r>
        <w:rPr>
          <w:rFonts w:hint="eastAsia"/>
        </w:rPr>
        <w:t>。</w:t>
      </w:r>
      <w:r>
        <w:t>区域内交通设施基本成网，初步建成安全、便捷、经济、高效的交通体系</w:t>
      </w:r>
      <w:r>
        <w:rPr>
          <w:rFonts w:hint="eastAsia"/>
        </w:rPr>
        <w:t>，建设成为长春市卫星城市</w:t>
      </w:r>
      <w:r>
        <w:t>。</w:t>
      </w:r>
    </w:p>
    <w:p>
      <w:pPr>
        <w:ind w:firstLine="640"/>
      </w:pPr>
      <w:r>
        <w:t>到2025年，全面建</w:t>
      </w:r>
      <w:r>
        <w:rPr>
          <w:rFonts w:hint="eastAsia"/>
        </w:rPr>
        <w:t>成</w:t>
      </w:r>
      <w:r>
        <w:t>医药健康、食品加工、</w:t>
      </w:r>
      <w:r>
        <w:rPr>
          <w:rFonts w:hint="eastAsia"/>
        </w:rPr>
        <w:t>商贸物流、</w:t>
      </w:r>
      <w:r>
        <w:t>现代服务业</w:t>
      </w:r>
      <w:r>
        <w:rPr>
          <w:rFonts w:hint="eastAsia"/>
        </w:rPr>
        <w:t>、旅游</w:t>
      </w:r>
      <w:r>
        <w:t>等产业体系</w:t>
      </w:r>
      <w:r>
        <w:rPr>
          <w:rFonts w:hint="eastAsia"/>
        </w:rPr>
        <w:t>，装备制造业、建筑及其配套产业加快发展，新能源产业初具规模，成为全省高质量发展示范城市。</w:t>
      </w:r>
      <w:r>
        <w:t>建成超百亿元医药健康产业集群；食品加工业结构布局进一步优化，产能产效明显提高，建成食品加工产业高地；</w:t>
      </w:r>
      <w:r>
        <w:rPr>
          <w:rFonts w:hint="eastAsia"/>
        </w:rPr>
        <w:t>建成吉林省东南部省级区域性物流枢纽；</w:t>
      </w:r>
      <w:r>
        <w:t>现代服务业发展体制机制完善，建成产业集聚、特色鲜明、功能完善的现代服务业发展集聚区；形成全域旅游发展格局，建成长通白延吉长避暑冰雪生态旅游大环线中的优质休闲度假名城，</w:t>
      </w:r>
      <w:r>
        <w:rPr>
          <w:rFonts w:hint="eastAsia"/>
        </w:rPr>
        <w:t>力争建成两个5A级旅游景区</w:t>
      </w:r>
      <w:r>
        <w:t>；全面建成安全、便捷、经济、高效的交通体系，成为</w:t>
      </w:r>
      <w:r>
        <w:rPr>
          <w:rFonts w:hint="eastAsia"/>
        </w:rPr>
        <w:t>白松长通至辽宁大通道</w:t>
      </w:r>
      <w:r>
        <w:t>节点城市。</w:t>
      </w:r>
    </w:p>
    <w:p>
      <w:pPr>
        <w:pStyle w:val="2"/>
        <w:spacing w:beforeLines="0" w:afterLines="0"/>
        <w:ind w:firstLine="723"/>
      </w:pPr>
      <w:bookmarkStart w:id="6" w:name="_Toc114213709"/>
      <w:r>
        <w:t>二、主要任务</w:t>
      </w:r>
      <w:bookmarkEnd w:id="6"/>
    </w:p>
    <w:p>
      <w:pPr>
        <w:ind w:firstLine="640"/>
      </w:pPr>
      <w:r>
        <w:t>围绕吉林省</w:t>
      </w:r>
      <w:r>
        <w:rPr>
          <w:rFonts w:hint="eastAsia"/>
        </w:rPr>
        <w:t>“一主六双”高质量发展战略</w:t>
      </w:r>
      <w:r>
        <w:t>重大</w:t>
      </w:r>
      <w:r>
        <w:rPr>
          <w:rFonts w:hint="eastAsia"/>
        </w:rPr>
        <w:t>决策</w:t>
      </w:r>
      <w:r>
        <w:t>部署和梅河口市基础优势，强化优势产业率先突破、关键领域补齐短板，加快推动产业转型升级和整体水平跃升。壮大医药健康产业，优化食品加工业，</w:t>
      </w:r>
      <w:r>
        <w:rPr>
          <w:rFonts w:hint="eastAsia"/>
        </w:rPr>
        <w:t>大力发展新兴产业，</w:t>
      </w:r>
      <w:r>
        <w:t>全面融入</w:t>
      </w:r>
      <w:r>
        <w:rPr>
          <w:rFonts w:hint="eastAsia"/>
        </w:rPr>
        <w:t>“</w:t>
      </w:r>
      <w:r>
        <w:t>双廊</w:t>
      </w:r>
      <w:r>
        <w:rPr>
          <w:rFonts w:hint="eastAsia"/>
        </w:rPr>
        <w:t>”</w:t>
      </w:r>
      <w:r>
        <w:t>建设，</w:t>
      </w:r>
      <w:r>
        <w:rPr>
          <w:rFonts w:hint="eastAsia"/>
        </w:rPr>
        <w:t>提升商贸物流产业，</w:t>
      </w:r>
      <w:r>
        <w:t>完善现代服务业，</w:t>
      </w:r>
      <w:r>
        <w:rPr>
          <w:rFonts w:hint="eastAsia"/>
        </w:rPr>
        <w:t>主动</w:t>
      </w:r>
      <w:r>
        <w:t>对接</w:t>
      </w:r>
      <w:r>
        <w:rPr>
          <w:rFonts w:hint="eastAsia"/>
        </w:rPr>
        <w:t>长春现代化都市圈建设</w:t>
      </w:r>
      <w:r>
        <w:t>，打造生态旅游，有力支撑</w:t>
      </w:r>
      <w:r>
        <w:rPr>
          <w:rFonts w:hint="eastAsia"/>
        </w:rPr>
        <w:t>长通白延吉长避暑冰雪生态旅游大环线</w:t>
      </w:r>
      <w:r>
        <w:t>发展，构建优质交通网，拓展</w:t>
      </w:r>
      <w:r>
        <w:rPr>
          <w:rFonts w:hint="eastAsia"/>
        </w:rPr>
        <w:t>白松长通至辽宁（丹东港、营口港、大连港）大通道</w:t>
      </w:r>
      <w:r>
        <w:t>功能</w:t>
      </w:r>
      <w:r>
        <w:rPr>
          <w:rFonts w:hint="eastAsia"/>
        </w:rPr>
        <w:t>，夯实农业基础，助力构建中西部粮食安全产业带</w:t>
      </w:r>
      <w:r>
        <w:t>。</w:t>
      </w:r>
    </w:p>
    <w:p>
      <w:pPr>
        <w:pStyle w:val="3"/>
        <w:keepLines w:val="0"/>
        <w:ind w:firstLine="643"/>
      </w:pPr>
      <w:bookmarkStart w:id="7" w:name="_Toc114213710"/>
      <w:r>
        <w:t>（</w:t>
      </w:r>
      <w:r>
        <w:rPr>
          <w:rFonts w:hint="eastAsia"/>
        </w:rPr>
        <w:t>一</w:t>
      </w:r>
      <w:r>
        <w:t>）</w:t>
      </w:r>
      <w:r>
        <w:rPr>
          <w:rFonts w:hint="eastAsia"/>
        </w:rPr>
        <w:t>培育优势产业</w:t>
      </w:r>
      <w:r>
        <w:t>，</w:t>
      </w:r>
      <w:r>
        <w:rPr>
          <w:rFonts w:hint="eastAsia"/>
        </w:rPr>
        <w:t>全面融入长春现代化都市圈</w:t>
      </w:r>
      <w:r>
        <w:t>建设</w:t>
      </w:r>
      <w:bookmarkEnd w:id="7"/>
      <w:r>
        <w:rPr>
          <w:rFonts w:hint="eastAsia"/>
        </w:rPr>
        <w:t>。</w:t>
      </w:r>
    </w:p>
    <w:p>
      <w:pPr>
        <w:pStyle w:val="4"/>
        <w:ind w:firstLine="643"/>
        <w:rPr>
          <w:sz w:val="32"/>
        </w:rPr>
      </w:pPr>
      <w:bookmarkStart w:id="8" w:name="_Toc114213711"/>
      <w:r>
        <w:rPr>
          <w:rFonts w:hint="eastAsia"/>
          <w:sz w:val="32"/>
        </w:rPr>
        <w:t>1</w:t>
      </w:r>
      <w:r>
        <w:rPr>
          <w:sz w:val="32"/>
        </w:rPr>
        <w:t>.</w:t>
      </w:r>
      <w:r>
        <w:rPr>
          <w:rFonts w:hint="eastAsia"/>
          <w:sz w:val="32"/>
        </w:rPr>
        <w:t>提升商贸物流产业</w:t>
      </w:r>
      <w:bookmarkEnd w:id="8"/>
    </w:p>
    <w:p>
      <w:pPr>
        <w:ind w:firstLine="640"/>
      </w:pPr>
      <w:r>
        <w:rPr>
          <w:rFonts w:hint="eastAsia"/>
        </w:rPr>
        <w:t>围绕扩大内需、适应消费方式转变的要求，推进传统商贸物流产业转型提升，培育发展商贸新业态、新模式，充分发挥资源禀赋优势，推动产业链创新链高效衔接、协同发展。开展重点商圈提升行动，继续优化中心、河东、西街、北环、现代服务业示范区等五大商圈，建设结构合理、特色突出、层次清晰、功能完善的多个城市商业中心，打造体现城市风貌的商业景观和适宜休闲、购物、美食的商业场所。加快传化物流等项目建设。依托已建成的红星美凯龙、凯购城、跃兴农产品物流城、民生仓储保税物流园区、青田进口商品城等商贸物流设施，支持现有果仁、大米、建材、农机、农资、农贸等专业批发市场标准化改造升级，同时跟进特色市场建设，打造东北三省最大的农产品和果蔬批发市场、中国北方药材药品交易市场、亚洲果仁集散中心、东北亚欧洲进口商品集散中心、梅河口石化产品交易中心。依托已建成的商贸物流城和通化内陆港，主动对接辽宁省的丹东港、大连港以及吉林省的珲春口岸，拓展沟通联系，通过“借港出海”从而扩大梅河口对吉林省东南部的辐射力和影响力。加快发展冷链物流，大力推进医药、果仁、生鲜农产品、方便食品等基础设施建设，培育发展直供大型商超、便利店、电商和终端消费者的冷链物流业态和服务模式，实现“最后一公里”安全物流配送。以国道202线为主轴，依托“一主两翼”空间布局，加快推进山城镇现代物流产业园等项目建设，打造对接长春现代化都市圈、辐射服务东北区域的梅河口商贸物流带。（责任部门：商务局牵头负责，其他相关部门配合）</w:t>
      </w:r>
    </w:p>
    <w:p>
      <w:pPr>
        <w:pStyle w:val="4"/>
        <w:ind w:firstLine="643"/>
        <w:rPr>
          <w:sz w:val="32"/>
        </w:rPr>
      </w:pPr>
      <w:bookmarkStart w:id="9" w:name="_Toc114213712"/>
      <w:r>
        <w:rPr>
          <w:rFonts w:hint="eastAsia"/>
          <w:sz w:val="32"/>
        </w:rPr>
        <w:t>2</w:t>
      </w:r>
      <w:r>
        <w:rPr>
          <w:sz w:val="32"/>
        </w:rPr>
        <w:t>.完善现代服务业</w:t>
      </w:r>
      <w:bookmarkEnd w:id="9"/>
    </w:p>
    <w:p>
      <w:pPr>
        <w:ind w:firstLine="643"/>
        <w:rPr>
          <w:rFonts w:eastAsia="楷体"/>
        </w:rPr>
      </w:pPr>
      <w:r>
        <w:rPr>
          <w:rFonts w:hint="eastAsia"/>
          <w:b/>
        </w:rPr>
        <w:t>大力发展金融服务。</w:t>
      </w:r>
      <w:r>
        <w:rPr>
          <w:rFonts w:hint="eastAsia"/>
        </w:rPr>
        <w:t>依托人民大街、建国路，规划打造金融一条街，重点引进全国性股份制银行、有特色的城商行以及有实力的证券、期货、保险机构来我市设立分支机构，积极参与农联社和民生银行改制工作，组建政府控股的城市商业银行，拓宽资本补充渠道，完善地方金融体系。探索由市财政联合高新区，针对医药、食品主导产业及未来重点发展的装备制造产业设置产业发展基金，坚持“产业、金融”双轮驱动，重点推进种子期、初创期成长型中小企业发展。加快发展普惠金融，健全普惠金融机构体系，鼓励金融机构拓展服务网点，设立小微、三农专营机构，增强金融支持小微企业发展能力，促进实体经济稳健发展。完善中小微企业服务体系，优化小微企业贷款管理，缩短融资链条，切实降低融资成本。完善农村地区金融服务，发展村镇银行、小额贷款公司和新型农村合作金融组织，加大农村金融产品和服务创新力度，有效应用支农再贷款和合意贷款政策，积极开展面向农户的小额信贷业务。</w:t>
      </w:r>
      <w:r>
        <w:rPr>
          <w:rFonts w:hint="eastAsia" w:eastAsia="楷体"/>
        </w:rPr>
        <w:t>（</w:t>
      </w:r>
      <w:r>
        <w:rPr>
          <w:rFonts w:eastAsia="楷体"/>
        </w:rPr>
        <w:t>责任部门：</w:t>
      </w:r>
      <w:r>
        <w:rPr>
          <w:rFonts w:hint="eastAsia" w:eastAsia="楷体"/>
        </w:rPr>
        <w:t>财政</w:t>
      </w:r>
      <w:r>
        <w:rPr>
          <w:rFonts w:eastAsia="楷体"/>
        </w:rPr>
        <w:t>局</w:t>
      </w:r>
      <w:r>
        <w:rPr>
          <w:rFonts w:hint="eastAsia" w:eastAsia="楷体"/>
        </w:rPr>
        <w:t>、金融办</w:t>
      </w:r>
      <w:r>
        <w:rPr>
          <w:rFonts w:eastAsia="楷体"/>
        </w:rPr>
        <w:t>牵头负责，其他相关部门配合</w:t>
      </w:r>
      <w:r>
        <w:rPr>
          <w:rFonts w:hint="eastAsia" w:eastAsia="楷体"/>
        </w:rPr>
        <w:t>）</w:t>
      </w:r>
    </w:p>
    <w:p>
      <w:pPr>
        <w:ind w:firstLine="643"/>
        <w:rPr>
          <w:rFonts w:eastAsia="楷体"/>
        </w:rPr>
      </w:pPr>
      <w:r>
        <w:rPr>
          <w:b/>
        </w:rPr>
        <w:t>加快发展电子商务。</w:t>
      </w:r>
      <w:r>
        <w:t>根据特色优势产业发展垂直电子商务，拓展销售渠道，构建产品质量保障追溯体系。积极推进线上线下结合、种养加工与销售结合的农村电子商务发展，开展</w:t>
      </w:r>
      <w:r>
        <w:rPr>
          <w:rFonts w:hint="eastAsia"/>
        </w:rPr>
        <w:t>“</w:t>
      </w:r>
      <w:r>
        <w:t>电商村、电商镇</w:t>
      </w:r>
      <w:r>
        <w:rPr>
          <w:rFonts w:hint="eastAsia"/>
        </w:rPr>
        <w:t>”</w:t>
      </w:r>
      <w:r>
        <w:t>创建活动，加快建设电子商务云端大数据平台，促进产品网络销售。依托梅柳辉东一体化协作区，加强与大型电商平台对接合作，建设网络销售体系。推动电子商务服务与传统商贸服务的融合发展，鼓励传统生活服务企业依托本地生活服务平台发展社区电子商务。利用电子商务平台的大数据资源，提升企业精准营销能力，发展</w:t>
      </w:r>
      <w:r>
        <w:rPr>
          <w:rFonts w:hint="eastAsia"/>
        </w:rPr>
        <w:t>“</w:t>
      </w:r>
      <w:r>
        <w:t>以销定产</w:t>
      </w:r>
      <w:r>
        <w:rPr>
          <w:rFonts w:hint="eastAsia"/>
        </w:rPr>
        <w:t>”</w:t>
      </w:r>
      <w:r>
        <w:t>及</w:t>
      </w:r>
      <w:r>
        <w:rPr>
          <w:rFonts w:hint="eastAsia"/>
        </w:rPr>
        <w:t>“</w:t>
      </w:r>
      <w:r>
        <w:t>个性化定制生产</w:t>
      </w:r>
      <w:r>
        <w:rPr>
          <w:rFonts w:hint="eastAsia"/>
        </w:rPr>
        <w:t>”</w:t>
      </w:r>
      <w:r>
        <w:t>。</w:t>
      </w:r>
      <w:bookmarkStart w:id="10" w:name="_Hlk4055907"/>
      <w:r>
        <w:rPr>
          <w:rFonts w:hint="eastAsia" w:eastAsia="楷体"/>
        </w:rPr>
        <w:t>（</w:t>
      </w:r>
      <w:r>
        <w:rPr>
          <w:rFonts w:eastAsia="楷体"/>
        </w:rPr>
        <w:t>责任部门：商务局牵头负责，其他相关部门配合</w:t>
      </w:r>
      <w:r>
        <w:rPr>
          <w:rFonts w:hint="eastAsia" w:eastAsia="楷体"/>
        </w:rPr>
        <w:t>）</w:t>
      </w:r>
    </w:p>
    <w:bookmarkEnd w:id="10"/>
    <w:p>
      <w:pPr>
        <w:ind w:firstLine="643"/>
        <w:rPr>
          <w:rFonts w:eastAsia="楷体"/>
        </w:rPr>
      </w:pPr>
      <w:r>
        <w:rPr>
          <w:b/>
        </w:rPr>
        <w:t>完善创新研发体系。</w:t>
      </w:r>
      <w:r>
        <w:t>坚持面向企业和市场的科研方向，整合科技资源，建立以企业为主体，以科研单位和大专院校为依托，充满活力和开放的医药、食品加工等产业自主创新体系。形成从基础研究、应用研究、实验开发到工程化较为完整的研发体系。扶持医药、食品加工等领域骨干企业设立技术研发中心，鼓励企业加大研发投入，支持企业申报科研项目，开发具有自主知识产权的核心技术。抓好重点中试平台建设。支持企业和高等院校、科研院所组建技术创新联盟，吸引创新要素，统筹创新资源和研发力量，力争在医药、食品加工等产业重大技术方面取得新突破。</w:t>
      </w:r>
      <w:bookmarkStart w:id="11" w:name="_Hlk4054932"/>
      <w:r>
        <w:rPr>
          <w:rFonts w:hint="eastAsia" w:eastAsia="楷体"/>
        </w:rPr>
        <w:t>（</w:t>
      </w:r>
      <w:r>
        <w:rPr>
          <w:rFonts w:eastAsia="楷体"/>
        </w:rPr>
        <w:t>责任部门：工信局、发改局按职责分工牵头负责，其他相关部门配合</w:t>
      </w:r>
      <w:bookmarkEnd w:id="11"/>
      <w:r>
        <w:rPr>
          <w:rFonts w:hint="eastAsia" w:eastAsia="楷体"/>
        </w:rPr>
        <w:t>）</w:t>
      </w:r>
    </w:p>
    <w:p>
      <w:pPr>
        <w:ind w:firstLine="643"/>
        <w:rPr>
          <w:rFonts w:eastAsia="楷体"/>
        </w:rPr>
      </w:pPr>
      <w:r>
        <w:rPr>
          <w:b/>
        </w:rPr>
        <w:t>发展检验检测认证服务。</w:t>
      </w:r>
      <w:r>
        <w:t>加快发展第三方检验检测认证服务，支持技术机构由提供单一服务向提供综合服务延伸，发展面向设计开发、生产制造、售后服务全过程的观测、分析、测试、检验、标准、认证等服务，鼓励不同所有制检验检测认证机构平等参与市场竞争。培育一批技术能力强、服务水平高、规模效益好的检验检测认证企业。争取国家级、省级质检中心和检测实验室建设。</w:t>
      </w:r>
      <w:bookmarkStart w:id="12" w:name="_Hlk4055297"/>
      <w:r>
        <w:rPr>
          <w:rFonts w:hint="eastAsia" w:eastAsia="楷体"/>
        </w:rPr>
        <w:t>（</w:t>
      </w:r>
      <w:r>
        <w:rPr>
          <w:rFonts w:eastAsia="楷体"/>
        </w:rPr>
        <w:t>责任部门：工信局、发改局、市场监督管理局按职责分工牵头负责，其他相关部门配合</w:t>
      </w:r>
      <w:r>
        <w:rPr>
          <w:rFonts w:hint="eastAsia" w:eastAsia="楷体"/>
        </w:rPr>
        <w:t>）</w:t>
      </w:r>
    </w:p>
    <w:bookmarkEnd w:id="12"/>
    <w:p>
      <w:pPr>
        <w:ind w:firstLine="643"/>
        <w:rPr>
          <w:rFonts w:eastAsia="楷体"/>
        </w:rPr>
      </w:pPr>
      <w:r>
        <w:rPr>
          <w:b/>
        </w:rPr>
        <w:t>发展创业孵化服务。</w:t>
      </w:r>
      <w:r>
        <w:t>引导企业、社会资本参与投资建设孵化器，积极探索</w:t>
      </w:r>
      <w:r>
        <w:rPr>
          <w:rFonts w:ascii="仿宋" w:hAnsi="仿宋"/>
        </w:rPr>
        <w:t>“创业苗圃＋孵化器＋加速器”等新</w:t>
      </w:r>
      <w:r>
        <w:t>型运作模式，鼓励孵化器市场化运作，努力实现梅河口科技企业孵化器建设投资主体多元化、创业服务专业化、运行机制科学化、组织体系网络化、服务平台标准化、服务内容国际化的孵化器建设</w:t>
      </w:r>
      <w:r>
        <w:rPr>
          <w:rFonts w:hint="eastAsia"/>
        </w:rPr>
        <w:t>“</w:t>
      </w:r>
      <w:r>
        <w:t>六化</w:t>
      </w:r>
      <w:r>
        <w:rPr>
          <w:rFonts w:hint="eastAsia"/>
        </w:rPr>
        <w:t>”</w:t>
      </w:r>
      <w:r>
        <w:t>目标，打造科技企业孵化器群体。探索</w:t>
      </w:r>
      <w:r>
        <w:rPr>
          <w:rFonts w:hint="eastAsia"/>
        </w:rPr>
        <w:t>“</w:t>
      </w:r>
      <w:r>
        <w:t>众创空间</w:t>
      </w:r>
      <w:r>
        <w:rPr>
          <w:rFonts w:hint="eastAsia"/>
        </w:rPr>
        <w:t>”</w:t>
      </w:r>
      <w:r>
        <w:t>等</w:t>
      </w:r>
      <w:r>
        <w:rPr>
          <w:rFonts w:hint="eastAsia"/>
        </w:rPr>
        <w:t>“</w:t>
      </w:r>
      <w:r>
        <w:t>孵化器＋创业风险投资</w:t>
      </w:r>
      <w:r>
        <w:rPr>
          <w:rFonts w:hint="eastAsia"/>
        </w:rPr>
        <w:t>”</w:t>
      </w:r>
      <w:r>
        <w:t>的新型孵化模式，引导更广泛的社会资源支持创新创业。各类科技企业孵化器要通过完善服务功能，为创业者提供专业化技术服务及成果转化服务。积极探索基于互联网的新型孵化方式，提升孵化器专业服务能力。重点抓好</w:t>
      </w:r>
      <w:r>
        <w:rPr>
          <w:rFonts w:hint="eastAsia"/>
        </w:rPr>
        <w:t>医药健康特色产业园区科技孵化器、双创中心、</w:t>
      </w:r>
      <w:r>
        <w:t>梅河口市慧谷中小企业创业孵化基地，工业新城高端医药孵化创业示范区建设。</w:t>
      </w:r>
      <w:bookmarkStart w:id="13" w:name="_Hlk4055347"/>
      <w:r>
        <w:rPr>
          <w:rFonts w:hint="eastAsia" w:eastAsia="楷体"/>
        </w:rPr>
        <w:t>（</w:t>
      </w:r>
      <w:r>
        <w:rPr>
          <w:rFonts w:eastAsia="楷体"/>
        </w:rPr>
        <w:t>责任部门：工信局、商务局、发改局、人社局按职责分工牵头负责，其他相关部门配合</w:t>
      </w:r>
      <w:r>
        <w:rPr>
          <w:rFonts w:hint="eastAsia" w:eastAsia="楷体"/>
        </w:rPr>
        <w:t>）</w:t>
      </w:r>
    </w:p>
    <w:bookmarkEnd w:id="13"/>
    <w:p>
      <w:pPr>
        <w:ind w:firstLine="643"/>
        <w:rPr>
          <w:rFonts w:eastAsia="楷体"/>
        </w:rPr>
      </w:pPr>
      <w:r>
        <w:rPr>
          <w:b/>
        </w:rPr>
        <w:t>培育养老产业。</w:t>
      </w:r>
      <w:r>
        <w:t>抓好国家级养老服务业综合改革试点和国家级推进医疗卫生与养老服务相结合试点建设，鼓励和吸引社会资本建设适应多样化需求的社会化养老服务机构，引进民间资本建设专业性养老护理机构，改造整合现有农村社会福利服务中心，提升养老服务水平。创新养老服务运营方式，坚持对口支援与共同发展相结合，在公办养老机构开展公建民营改革试点，进行服务外包经营管理，使之与行政管理部门脱钩，委托民间组织或社会力量管理和运作。探索小型民办养老机构依托企事业单位、中介组织连锁管理的模式，加强规范运作，提高养老服务管理水平。创新养老服务供给方式，构建医养互相衔接的服务模式。鼓励养老机构内设医疗机构，支持社会资本举办护理院、康复医院和提供临终关怀服务的医疗机构。鼓励医疗机构积极支持和发展养老服务，利用现有的市中心医院、市中医医院、市第二医院等综合医院开展关爱老年工程，增加老年病床数量。支持吉林建设集团、益通房地产等企业建设集养老、养生、休闲为一体的都市田园居家养老项目。</w:t>
      </w:r>
      <w:bookmarkStart w:id="14" w:name="_Hlk4055675"/>
      <w:r>
        <w:rPr>
          <w:rFonts w:hint="eastAsia" w:eastAsia="楷体"/>
        </w:rPr>
        <w:t>（</w:t>
      </w:r>
      <w:r>
        <w:rPr>
          <w:rFonts w:eastAsia="楷体"/>
        </w:rPr>
        <w:t>责任部门：民政局、卫健局按职责分工牵头负责，其他相关部门配合</w:t>
      </w:r>
      <w:r>
        <w:rPr>
          <w:rFonts w:hint="eastAsia" w:eastAsia="楷体"/>
        </w:rPr>
        <w:t>）</w:t>
      </w:r>
    </w:p>
    <w:p>
      <w:pPr>
        <w:ind w:firstLine="643"/>
        <w:rPr>
          <w:rFonts w:eastAsia="楷体"/>
        </w:rPr>
      </w:pPr>
      <w:r>
        <w:rPr>
          <w:rFonts w:ascii="仿宋" w:hAnsi="仿宋"/>
          <w:b/>
        </w:rPr>
        <w:t>推动“数字梅河口”建设。</w:t>
      </w:r>
      <w:r>
        <w:t>着力推动数字产业化、产业数字化，实施夯实数字化发展基础、加快数字政府建设、推动</w:t>
      </w:r>
      <w:r>
        <w:rPr>
          <w:rFonts w:hint="eastAsia"/>
        </w:rPr>
        <w:t>“</w:t>
      </w:r>
      <w:r>
        <w:t>数字+产业</w:t>
      </w:r>
      <w:r>
        <w:rPr>
          <w:rFonts w:hint="eastAsia"/>
        </w:rPr>
        <w:t>”</w:t>
      </w:r>
      <w:r>
        <w:t>发展、推进新型智慧城市建设、培育数字产业新业态等</w:t>
      </w:r>
      <w:r>
        <w:rPr>
          <w:rFonts w:hint="eastAsia"/>
        </w:rPr>
        <w:t>“</w:t>
      </w:r>
      <w:r>
        <w:t>五大任务</w:t>
      </w:r>
      <w:r>
        <w:rPr>
          <w:rFonts w:hint="eastAsia"/>
        </w:rPr>
        <w:t>”</w:t>
      </w:r>
      <w:r>
        <w:t>，建设数字+产业提升工程、数字+农业创新工程、数字+社会事业现代化工程、数字+政务服务工程、数字+社会治理工程、数字+民生改善工程、数字+生态文明工程等</w:t>
      </w:r>
      <w:r>
        <w:rPr>
          <w:rFonts w:hint="eastAsia"/>
        </w:rPr>
        <w:t>“</w:t>
      </w:r>
      <w:r>
        <w:t>七大工程</w:t>
      </w:r>
      <w:r>
        <w:rPr>
          <w:rFonts w:hint="eastAsia"/>
        </w:rPr>
        <w:t>”</w:t>
      </w:r>
      <w:r>
        <w:t>，促进互联网、大数据、人工智能同实体经济深度融合，运用大数据提升社会治理现代化水平、促进保障和改善民生，打造经济社会转型发展的新产业、新动能、新增长极，走出一条质量更高、效益更好、结构更优、优势充分释放的全面发展新路。</w:t>
      </w:r>
      <w:r>
        <w:rPr>
          <w:rFonts w:hint="eastAsia" w:eastAsia="楷体"/>
        </w:rPr>
        <w:t>（</w:t>
      </w:r>
      <w:r>
        <w:rPr>
          <w:rFonts w:eastAsia="楷体"/>
        </w:rPr>
        <w:t>责任部门：政务服务和数字化建设管理局牵头负责，其他相关部门配合</w:t>
      </w:r>
      <w:r>
        <w:rPr>
          <w:rFonts w:hint="eastAsia" w:eastAsia="楷体"/>
        </w:rPr>
        <w:t>）</w:t>
      </w:r>
    </w:p>
    <w:bookmarkEnd w:id="14"/>
    <w:p>
      <w:pPr>
        <w:pStyle w:val="3"/>
        <w:ind w:firstLine="643"/>
      </w:pPr>
      <w:bookmarkStart w:id="15" w:name="_Toc114213713"/>
      <w:r>
        <w:t>（</w:t>
      </w:r>
      <w:r>
        <w:rPr>
          <w:rFonts w:hint="eastAsia"/>
        </w:rPr>
        <w:t>二</w:t>
      </w:r>
      <w:r>
        <w:t>）</w:t>
      </w:r>
      <w:bookmarkEnd w:id="15"/>
      <w:r>
        <w:rPr>
          <w:rFonts w:hint="eastAsia"/>
        </w:rPr>
        <w:t>做强制造业，支撑“双廊</w:t>
      </w:r>
      <w:r>
        <w:t>”</w:t>
      </w:r>
      <w:r>
        <w:rPr>
          <w:rFonts w:hint="eastAsia"/>
        </w:rPr>
        <w:t>建设。</w:t>
      </w:r>
    </w:p>
    <w:p>
      <w:pPr>
        <w:pStyle w:val="4"/>
        <w:ind w:firstLine="643"/>
        <w:rPr>
          <w:sz w:val="32"/>
        </w:rPr>
      </w:pPr>
      <w:bookmarkStart w:id="16" w:name="_Toc114213714"/>
      <w:r>
        <w:rPr>
          <w:sz w:val="32"/>
        </w:rPr>
        <w:t>1.壮大医药健康产业</w:t>
      </w:r>
      <w:bookmarkEnd w:id="16"/>
    </w:p>
    <w:p>
      <w:pPr>
        <w:ind w:firstLine="643"/>
        <w:rPr>
          <w:rFonts w:eastAsia="楷体"/>
        </w:rPr>
      </w:pPr>
      <w:r>
        <w:rPr>
          <w:b/>
        </w:rPr>
        <w:t>打造百亿级医药健康产业集群。</w:t>
      </w:r>
      <w:r>
        <w:t>积极把握省委省政府</w:t>
      </w:r>
      <w:r>
        <w:rPr>
          <w:rFonts w:hint="eastAsia"/>
        </w:rPr>
        <w:t>“长辽梅通白延医药健康产业走廊”</w:t>
      </w:r>
      <w:r>
        <w:t>建设重大机遇，依托国家火炬梅河口现代中医药特色产业基地（国家级）、吉林省梅河口医药高新技术特色产业基地，大力发展中药产业，巩固和提高化学药产业优势地位，培育生物药和医疗器械产业，发展健康产品及服务，突出发展物流、包装、研发、检测等相关配套产业，推动医药健康产业实现全产业链发展，全力打造医药健康产业集群、国家级长白山医药健康基地、东北亚区域性大健康产业基地，建成超百亿元医药健康产业集群</w:t>
      </w:r>
      <w:bookmarkStart w:id="17" w:name="_Hlk4053756"/>
      <w:r>
        <w:t>。</w:t>
      </w:r>
      <w:r>
        <w:rPr>
          <w:rFonts w:hint="eastAsia" w:eastAsia="楷体"/>
        </w:rPr>
        <w:t>（</w:t>
      </w:r>
      <w:r>
        <w:rPr>
          <w:rFonts w:eastAsia="楷体"/>
        </w:rPr>
        <w:t>责任部门：</w:t>
      </w:r>
      <w:bookmarkStart w:id="18" w:name="_Hlk4053583"/>
      <w:r>
        <w:rPr>
          <w:rFonts w:eastAsia="楷体"/>
        </w:rPr>
        <w:t>工信局、发改局（科技局）、农业农村局按职责分工牵头负责，</w:t>
      </w:r>
      <w:bookmarkEnd w:id="18"/>
      <w:r>
        <w:rPr>
          <w:rFonts w:eastAsia="楷体"/>
        </w:rPr>
        <w:t>其他相关部门配合</w:t>
      </w:r>
      <w:r>
        <w:rPr>
          <w:rFonts w:hint="eastAsia" w:eastAsia="楷体"/>
        </w:rPr>
        <w:t>）</w:t>
      </w:r>
    </w:p>
    <w:bookmarkEnd w:id="17"/>
    <w:p>
      <w:pPr>
        <w:ind w:firstLine="643"/>
        <w:rPr>
          <w:rFonts w:eastAsia="楷体"/>
        </w:rPr>
      </w:pPr>
      <w:r>
        <w:rPr>
          <w:b/>
        </w:rPr>
        <w:t>加快建设中药材标准化生产基地。</w:t>
      </w:r>
      <w:r>
        <w:t>加强中药材优良品种选育研究与示范推广，建立良种生产示范基地。依托龙头企业、农民合作社等新型经营主体，构建</w:t>
      </w:r>
      <w:r>
        <w:rPr>
          <w:rFonts w:hint="eastAsia"/>
        </w:rPr>
        <w:t>“</w:t>
      </w:r>
      <w:r>
        <w:t>龙头企业+合作社（种植大户）+基地</w:t>
      </w:r>
      <w:r>
        <w:rPr>
          <w:rFonts w:hint="eastAsia"/>
        </w:rPr>
        <w:t>”</w:t>
      </w:r>
      <w:r>
        <w:t>的生产经营模式，带动农民按标生产、规范管理，推进中药材全程标准化生产。按照统一规划、合理布局、集中连片的原则，加强基础设施建设，配套水肥一体设施，建成能排能灌、土质良好、通行便利、抗灾能力较强的高标准中药材生产基地。支持人参、五味子、梅花鹿等</w:t>
      </w:r>
      <w:r>
        <w:rPr>
          <w:rFonts w:hint="eastAsia"/>
        </w:rPr>
        <w:t>“</w:t>
      </w:r>
      <w:r>
        <w:t>吉林省（国家）北药基地</w:t>
      </w:r>
      <w:r>
        <w:rPr>
          <w:rFonts w:hint="eastAsia"/>
        </w:rPr>
        <w:t>”</w:t>
      </w:r>
      <w:r>
        <w:t>核心中药材大品种规模化种植（养殖）。</w:t>
      </w:r>
      <w:r>
        <w:rPr>
          <w:rFonts w:hint="eastAsia" w:eastAsia="楷体"/>
        </w:rPr>
        <w:t>（</w:t>
      </w:r>
      <w:r>
        <w:rPr>
          <w:rFonts w:eastAsia="楷体"/>
        </w:rPr>
        <w:t>责任部门：农业农村局牵头，其他相关部门配合</w:t>
      </w:r>
      <w:r>
        <w:rPr>
          <w:rFonts w:hint="eastAsia" w:eastAsia="楷体"/>
        </w:rPr>
        <w:t>）</w:t>
      </w:r>
    </w:p>
    <w:p>
      <w:pPr>
        <w:ind w:firstLine="643"/>
        <w:rPr>
          <w:rFonts w:eastAsia="楷体"/>
        </w:rPr>
      </w:pPr>
      <w:r>
        <w:rPr>
          <w:b/>
        </w:rPr>
        <w:t>大力发展中药。</w:t>
      </w:r>
      <w:r>
        <w:t>立足中药材资源优势和产业基础，规范中药材初加工，坚持增强优势、高端突破，围绕重大工艺改进、药效机制、临床再评价和药物经济学等研究内容，积极推进中药材有效成分提取分离与深度开发，重点支持</w:t>
      </w:r>
      <w:r>
        <w:rPr>
          <w:rFonts w:hint="eastAsia"/>
        </w:rPr>
        <w:t>天衡制药芹槐胶囊等</w:t>
      </w:r>
      <w:r>
        <w:t>新药创制和止痛化徵胶囊、谷红注射液、舒血宁注射液、芪棱片、九味双解口服液等中药大品种二次开发，加快现代中药产业的优化升级。</w:t>
      </w:r>
      <w:r>
        <w:rPr>
          <w:rFonts w:hint="eastAsia" w:eastAsia="楷体"/>
        </w:rPr>
        <w:t>（</w:t>
      </w:r>
      <w:r>
        <w:rPr>
          <w:rFonts w:eastAsia="楷体"/>
        </w:rPr>
        <w:t>责任部门：工信局牵头，其他相关部门配合</w:t>
      </w:r>
      <w:r>
        <w:rPr>
          <w:rFonts w:hint="eastAsia" w:eastAsia="楷体"/>
        </w:rPr>
        <w:t>）</w:t>
      </w:r>
    </w:p>
    <w:p>
      <w:pPr>
        <w:ind w:firstLine="643"/>
        <w:rPr>
          <w:rFonts w:eastAsia="楷体"/>
        </w:rPr>
      </w:pPr>
      <w:r>
        <w:rPr>
          <w:b/>
        </w:rPr>
        <w:t>着力发展化学药。</w:t>
      </w:r>
      <w:r>
        <w:t>鼓励四环制药、步长制药、弘美制药、谷红制药</w:t>
      </w:r>
      <w:r>
        <w:rPr>
          <w:rFonts w:hint="eastAsia"/>
        </w:rPr>
        <w:t>和万通药业</w:t>
      </w:r>
      <w:r>
        <w:t>等现有医药企业实施扩能改造、新品种引进及市场开发；积极引进域外企业来梅新建或兼并重组化学药企业。通过资源互补、资源优化的方式开展自主创新研究，完善产品线，增强产品组合竞争力，为企业建立中、长期可持续增值发展能力。坚持以仿制带创制、以制剂带原料发展，一手抓专利即将到期的</w:t>
      </w:r>
      <w:r>
        <w:rPr>
          <w:rFonts w:hint="eastAsia"/>
        </w:rPr>
        <w:t>“</w:t>
      </w:r>
      <w:r>
        <w:t>大药</w:t>
      </w:r>
      <w:r>
        <w:rPr>
          <w:rFonts w:hint="eastAsia"/>
        </w:rPr>
        <w:t>”</w:t>
      </w:r>
      <w:r>
        <w:t>仿制开发，一手抓创新药物研制与孵化，积极推进老品种技术提升与开发，将化学药打造成新的经济增长极。</w:t>
      </w:r>
      <w:r>
        <w:rPr>
          <w:rFonts w:hint="eastAsia" w:eastAsia="楷体"/>
        </w:rPr>
        <w:t>（</w:t>
      </w:r>
      <w:r>
        <w:rPr>
          <w:rFonts w:eastAsia="楷体"/>
        </w:rPr>
        <w:t>责任部门：工信局牵头，其他相关部门配合</w:t>
      </w:r>
      <w:r>
        <w:rPr>
          <w:rFonts w:hint="eastAsia" w:eastAsia="楷体"/>
        </w:rPr>
        <w:t>）</w:t>
      </w:r>
    </w:p>
    <w:p>
      <w:pPr>
        <w:ind w:firstLine="643"/>
        <w:rPr>
          <w:rFonts w:eastAsia="楷体"/>
        </w:rPr>
      </w:pPr>
      <w:r>
        <w:rPr>
          <w:b/>
        </w:rPr>
        <w:t>积极发展生物制药。</w:t>
      </w:r>
      <w:r>
        <w:t>坚持创制与仿制并举，开展重组蛋白、抗体药物等基因工程药物研发与产业化，推进吉林四环胰岛素中试进程，尽快形成产能；支持多组分生化药物大品种技术提升、扩大产能，培育生物制药产业整体竞争优势。</w:t>
      </w:r>
      <w:bookmarkStart w:id="19" w:name="_Hlk4053617"/>
      <w:r>
        <w:rPr>
          <w:rFonts w:hint="eastAsia" w:eastAsia="楷体"/>
        </w:rPr>
        <w:t>（</w:t>
      </w:r>
      <w:r>
        <w:rPr>
          <w:rFonts w:eastAsia="楷体"/>
        </w:rPr>
        <w:t>责任部门：工信局牵头，其他相关部门配合</w:t>
      </w:r>
      <w:r>
        <w:rPr>
          <w:rFonts w:hint="eastAsia" w:eastAsia="楷体"/>
        </w:rPr>
        <w:t>）</w:t>
      </w:r>
    </w:p>
    <w:bookmarkEnd w:id="19"/>
    <w:p>
      <w:pPr>
        <w:ind w:firstLine="643"/>
        <w:rPr>
          <w:rFonts w:eastAsia="楷体"/>
        </w:rPr>
      </w:pPr>
      <w:r>
        <w:rPr>
          <w:b/>
        </w:rPr>
        <w:t>努力发展健康产品及服务。</w:t>
      </w:r>
      <w:r>
        <w:t>充分利用本市大力发展大健康的机遇，推进传统生物医药产品向健康产品及服务延伸，借助丰富的动植物资源和区位优势，加快推进</w:t>
      </w:r>
      <w:bookmarkStart w:id="20" w:name="_Hlk3816408"/>
      <w:r>
        <w:t>高附加值保健食品</w:t>
      </w:r>
      <w:bookmarkEnd w:id="20"/>
      <w:r>
        <w:t>开发与产业化，重点开发膳食纤维、特殊膳食、营养配餐药膳等</w:t>
      </w:r>
      <w:bookmarkStart w:id="21" w:name="_Hlk3816423"/>
      <w:r>
        <w:t>特色功能食品</w:t>
      </w:r>
      <w:bookmarkEnd w:id="21"/>
      <w:r>
        <w:rPr>
          <w:rFonts w:hint="eastAsia"/>
        </w:rPr>
        <w:t>，支持麦孚特医食品产业园建设</w:t>
      </w:r>
      <w:r>
        <w:t>；依托制药和科研优势，重点推进氨基酸、微量元素等营养素补充剂，以及活性肽、胶原蛋白、酵素等高附加值生物技术保健食品生产。结合本市特色中药、养生产品、保健食品等，开展养生、保健和康复等特色健康服务。规划建设一批集养生养老、医疗康复、健康旅游、生态观光等为一体的综合性健康服务项目。</w:t>
      </w:r>
      <w:r>
        <w:rPr>
          <w:rFonts w:hint="eastAsia" w:eastAsia="楷体"/>
        </w:rPr>
        <w:t>（</w:t>
      </w:r>
      <w:r>
        <w:rPr>
          <w:rFonts w:eastAsia="楷体"/>
        </w:rPr>
        <w:t>责任部门：工信局、发改局、文广旅局按职责分工牵头负责，其他相关部门配合</w:t>
      </w:r>
      <w:r>
        <w:rPr>
          <w:rFonts w:hint="eastAsia" w:eastAsia="楷体"/>
        </w:rPr>
        <w:t>）</w:t>
      </w:r>
    </w:p>
    <w:p>
      <w:pPr>
        <w:ind w:firstLine="643"/>
        <w:rPr>
          <w:rFonts w:eastAsia="楷体"/>
        </w:rPr>
      </w:pPr>
      <w:r>
        <w:rPr>
          <w:b/>
        </w:rPr>
        <w:t>促进发展医疗器械。</w:t>
      </w:r>
      <w:r>
        <w:t>坚持重点培育和招商引资相结合，积极引进国内外先进技术和知名企业，建设医疗器械产业园。大力发展高值器械耗材。重点发展如心脏支架、心脏瓣膜、脊柱、耳蜗、人工晶体等高附加值的产品，推动精密加工制造企业与高值耗材企业对接，促进资源合理优化配置，大力打造高值器械耗材高地。大力发展体外诊断试剂。创造分子检测、免疫、流式细胞仪、分子检测试剂等，推动体外诊断与精密机械加工产业协同发展。依托行业龙头企业的品牌效应，吸引企业、人才等优质资源，强化产业集聚。</w:t>
      </w:r>
      <w:r>
        <w:rPr>
          <w:rFonts w:hint="eastAsia" w:eastAsia="楷体"/>
        </w:rPr>
        <w:t>（</w:t>
      </w:r>
      <w:r>
        <w:rPr>
          <w:rFonts w:eastAsia="楷体"/>
        </w:rPr>
        <w:t>责任部门：工信局牵头，其他相关部门配合</w:t>
      </w:r>
      <w:r>
        <w:rPr>
          <w:rFonts w:hint="eastAsia" w:eastAsia="楷体"/>
        </w:rPr>
        <w:t>）</w:t>
      </w:r>
    </w:p>
    <w:p>
      <w:pPr>
        <w:pStyle w:val="4"/>
        <w:ind w:firstLine="643"/>
        <w:rPr>
          <w:sz w:val="32"/>
        </w:rPr>
      </w:pPr>
      <w:bookmarkStart w:id="22" w:name="_Toc114213715"/>
      <w:r>
        <w:rPr>
          <w:sz w:val="32"/>
        </w:rPr>
        <w:t>2.优化食品加工产业</w:t>
      </w:r>
      <w:bookmarkEnd w:id="22"/>
    </w:p>
    <w:p>
      <w:pPr>
        <w:ind w:firstLine="643"/>
        <w:rPr>
          <w:rFonts w:eastAsia="楷体"/>
        </w:rPr>
      </w:pPr>
      <w:r>
        <w:rPr>
          <w:b/>
        </w:rPr>
        <w:t>做大酒精及酒类产品加工。</w:t>
      </w:r>
      <w:r>
        <w:t>依托龙头企业和玉米种植基础，深入推进玉米精深加工，促进酒精及酒类产品生产。推进阜康酒精加快转型升级，支持阜康酒精实施</w:t>
      </w:r>
      <w:r>
        <w:rPr>
          <w:rFonts w:hint="eastAsia"/>
        </w:rPr>
        <w:t>“</w:t>
      </w:r>
      <w:r>
        <w:t>上量</w:t>
      </w:r>
      <w:r>
        <w:rPr>
          <w:rFonts w:hint="eastAsia"/>
        </w:rPr>
        <w:t>”“</w:t>
      </w:r>
      <w:r>
        <w:t>上市</w:t>
      </w:r>
      <w:r>
        <w:rPr>
          <w:rFonts w:hint="eastAsia"/>
        </w:rPr>
        <w:t>”“</w:t>
      </w:r>
      <w:r>
        <w:t>双上</w:t>
      </w:r>
      <w:r>
        <w:rPr>
          <w:rFonts w:hint="eastAsia"/>
        </w:rPr>
        <w:t>”</w:t>
      </w:r>
      <w:r>
        <w:t>工程，注重延伸产业链条</w:t>
      </w:r>
      <w:r>
        <w:rPr>
          <w:rFonts w:hint="eastAsia"/>
        </w:rPr>
        <w:t>，</w:t>
      </w:r>
      <w:r>
        <w:t>打造世界级酒精生产基地。与中国白酒金三角园区开展全面合作，</w:t>
      </w:r>
      <w:r>
        <w:rPr>
          <w:rFonts w:hint="eastAsia"/>
        </w:rPr>
        <w:t>加快泸源酒业项目建设，</w:t>
      </w:r>
      <w:r>
        <w:t>促进酒类生产企业资源整合，通过升级改造、产品研发、品牌培育，开发系列特色酒类产品，</w:t>
      </w:r>
      <w:r>
        <w:rPr>
          <w:rFonts w:hint="eastAsia"/>
        </w:rPr>
        <w:t>推进10万吨新梅河精酿啤酒项目、菊乃香清酒项目建成投产、形成销售网络。</w:t>
      </w:r>
      <w:r>
        <w:t>打造高知名度的酒类产品品牌。</w:t>
      </w:r>
      <w:r>
        <w:rPr>
          <w:rFonts w:hint="eastAsia" w:eastAsia="楷体"/>
        </w:rPr>
        <w:t>（</w:t>
      </w:r>
      <w:r>
        <w:rPr>
          <w:rFonts w:eastAsia="楷体"/>
        </w:rPr>
        <w:t>责任部门：工信局、农业农村局按职责分工牵头负责，其他相关部门配合</w:t>
      </w:r>
      <w:r>
        <w:rPr>
          <w:rFonts w:hint="eastAsia" w:eastAsia="楷体"/>
        </w:rPr>
        <w:t>）</w:t>
      </w:r>
    </w:p>
    <w:p>
      <w:pPr>
        <w:ind w:firstLine="643"/>
        <w:rPr>
          <w:rFonts w:eastAsia="楷体"/>
        </w:rPr>
      </w:pPr>
      <w:r>
        <w:rPr>
          <w:b/>
        </w:rPr>
        <w:t>做细粮食加工。</w:t>
      </w:r>
      <w:r>
        <w:t>立足资源优势，重点发展以水稻、玉米、杂粮为原料的粮食加工业。充分发挥</w:t>
      </w:r>
      <w:r>
        <w:rPr>
          <w:rFonts w:hint="eastAsia"/>
        </w:rPr>
        <w:t>“</w:t>
      </w:r>
      <w:r>
        <w:t>梅河大米</w:t>
      </w:r>
      <w:r>
        <w:rPr>
          <w:rFonts w:hint="eastAsia"/>
        </w:rPr>
        <w:t>”</w:t>
      </w:r>
      <w:r>
        <w:t>地理标志保护产品的品牌优势，依托产业化龙头企业，积极与</w:t>
      </w:r>
      <w:r>
        <w:rPr>
          <w:rFonts w:hint="eastAsia"/>
        </w:rPr>
        <w:t>“</w:t>
      </w:r>
      <w:r>
        <w:t>珠三角</w:t>
      </w:r>
      <w:r>
        <w:rPr>
          <w:rFonts w:hint="eastAsia"/>
        </w:rPr>
        <w:t>”</w:t>
      </w:r>
      <w:r>
        <w:t>食品加工企业合作，大力促进产品向高、精、绿色、有机方向发展，强化以大米为原料的功能食品开发，打造国内知名的梅河绿优米品牌；探索玉米精深加工，重点开发玉米淀粉糖、玉米蛋白粉等玉米食品；推动杂粮在初加工的基础上，向营养、保健和复合食品等领域延伸。进一步加强粮食副产品的综合利用，提高附加值，延伸产业链条。</w:t>
      </w:r>
      <w:r>
        <w:rPr>
          <w:rFonts w:hint="eastAsia"/>
        </w:rPr>
        <w:t>重点发展冷面、米线等产业。</w:t>
      </w:r>
      <w:r>
        <w:rPr>
          <w:rFonts w:hint="eastAsia" w:eastAsia="楷体"/>
        </w:rPr>
        <w:t>（</w:t>
      </w:r>
      <w:r>
        <w:rPr>
          <w:rFonts w:eastAsia="楷体"/>
        </w:rPr>
        <w:t>责任部门：工信局、农业农村局按职责分工牵头负责，其他相关部门配合</w:t>
      </w:r>
      <w:r>
        <w:rPr>
          <w:rFonts w:hint="eastAsia" w:eastAsia="楷体"/>
        </w:rPr>
        <w:t>）</w:t>
      </w:r>
    </w:p>
    <w:p>
      <w:pPr>
        <w:ind w:firstLine="643"/>
        <w:rPr>
          <w:rFonts w:eastAsia="楷体"/>
        </w:rPr>
      </w:pPr>
      <w:r>
        <w:rPr>
          <w:b/>
        </w:rPr>
        <w:t>做强果仁加工。</w:t>
      </w:r>
      <w:r>
        <w:t>充分利用梅河口果仁知名度高和市场占有率高的优势，推动果仁加工向规模化、标准化、精深化方向发展，打造梅河口市亚洲最大果仁加工集散地。整合果仁加工企业，</w:t>
      </w:r>
      <w:r>
        <w:rPr>
          <w:rFonts w:hint="eastAsia"/>
        </w:rPr>
        <w:t>加快</w:t>
      </w:r>
      <w:r>
        <w:t>标准化果仁园区建设，推进果仁加工企业实现规模化、标准化生产。鼓励企业发展精深加工，开发高附加值的中高端果仁系列产品；加强脱皮果仁的副产品的综合利用，推广果壳生产可降解环保型餐饮具、造纸浆粕、活性炭等技术的应用。重点推进</w:t>
      </w:r>
      <w:r>
        <w:rPr>
          <w:rFonts w:hint="eastAsia"/>
        </w:rPr>
        <w:t>东北亚果仁集散中心（果仁产业园区项目）、</w:t>
      </w:r>
      <w:r>
        <w:t>弘越果仁食品深加工</w:t>
      </w:r>
      <w:r>
        <w:rPr>
          <w:rFonts w:hint="eastAsia"/>
        </w:rPr>
        <w:t>等</w:t>
      </w:r>
      <w:r>
        <w:t>项目。通过举办大型产品展销会等方式，提高产品知名度和市场影响力。启动俄、朝、蒙松子原产地市场化整合，推动全球松子原料一体化发展，实施渤商所交易平台和交割仓建设，打造“世界松子之都”。</w:t>
      </w:r>
      <w:bookmarkStart w:id="23" w:name="_Hlk4053976"/>
      <w:r>
        <w:rPr>
          <w:rFonts w:hint="eastAsia" w:eastAsia="楷体"/>
        </w:rPr>
        <w:t>（</w:t>
      </w:r>
      <w:r>
        <w:rPr>
          <w:rFonts w:eastAsia="楷体"/>
        </w:rPr>
        <w:t>责任部门：商务局、工信局、农业农村局按职责分工牵头负责，其他相关部门配合</w:t>
      </w:r>
      <w:r>
        <w:rPr>
          <w:rFonts w:hint="eastAsia" w:eastAsia="楷体"/>
        </w:rPr>
        <w:t>）</w:t>
      </w:r>
    </w:p>
    <w:bookmarkEnd w:id="23"/>
    <w:p>
      <w:pPr>
        <w:ind w:firstLine="643"/>
        <w:rPr>
          <w:rFonts w:eastAsia="楷体"/>
        </w:rPr>
      </w:pPr>
      <w:r>
        <w:rPr>
          <w:b/>
        </w:rPr>
        <w:t>做优畜禽加工。</w:t>
      </w:r>
      <w:r>
        <w:t>在加快发展</w:t>
      </w:r>
      <w:r>
        <w:rPr>
          <w:rFonts w:hint="eastAsia"/>
        </w:rPr>
        <w:t>梅河品牌鸡、品牌猪、肉牛等</w:t>
      </w:r>
      <w:r>
        <w:t>畜禽规模化、标准化和绿色养殖的基础上，壮大畜禽产品加工业。以集中屠宰、品牌经营、冷链物流、冷鲜上市为主攻方向，推进畜禽标准化屠宰，加快推进肉类分类分级，扩大真空冷鲜肉和分割肉市场份额。</w:t>
      </w:r>
      <w:r>
        <w:rPr>
          <w:rFonts w:hint="eastAsia"/>
        </w:rPr>
        <w:t>引进“沟帮子”等企业。</w:t>
      </w:r>
      <w:r>
        <w:t>支持畜产品加工企业实施扩能改造、研发新产品，以市场为导向，开发酱、卤、熏、烤、风干、西式、发酵、汤煲等多品种、系列化、全营养、精包装肉制品，提高市场竞争力；加强副产品的综合利用，研究骨、内脏、血液、羽毛等副产物综合利用技术，开发骨粉、骨油、高品质血粉、血浆蛋白粉、肠衣以及具有保健功能的生物制品等，提高其附加值，着力构建生猪、肉鸡、鹅、长白飞鸭、梅花鹿等畜禽精深加工体系。推进</w:t>
      </w:r>
      <w:r>
        <w:rPr>
          <w:rFonts w:hint="eastAsia"/>
        </w:rPr>
        <w:t>田源农牧、正方农牧、耘垦牧业等</w:t>
      </w:r>
      <w:r>
        <w:t>生产企业扩大生产规模，强化品牌建设和市场营销，提升产品价值和知名度。</w:t>
      </w:r>
      <w:r>
        <w:rPr>
          <w:rFonts w:hint="eastAsia" w:eastAsia="楷体"/>
        </w:rPr>
        <w:t>（</w:t>
      </w:r>
      <w:r>
        <w:rPr>
          <w:rFonts w:eastAsia="楷体"/>
        </w:rPr>
        <w:t>责任部门：</w:t>
      </w:r>
      <w:r>
        <w:rPr>
          <w:rFonts w:hint="eastAsia" w:eastAsia="楷体"/>
        </w:rPr>
        <w:t>高新区、</w:t>
      </w:r>
      <w:r>
        <w:rPr>
          <w:rFonts w:eastAsia="楷体"/>
        </w:rPr>
        <w:t>工信局、农业农村局按职责分工牵头负责，其他相关部门配合</w:t>
      </w:r>
      <w:r>
        <w:rPr>
          <w:rFonts w:hint="eastAsia" w:eastAsia="楷体"/>
        </w:rPr>
        <w:t>）</w:t>
      </w:r>
    </w:p>
    <w:p>
      <w:pPr>
        <w:ind w:firstLine="643"/>
        <w:rPr>
          <w:rFonts w:eastAsia="楷体"/>
        </w:rPr>
      </w:pPr>
      <w:r>
        <w:rPr>
          <w:b/>
        </w:rPr>
        <w:t>做精菌类及果蔬加工。</w:t>
      </w:r>
      <w:r>
        <w:t>依托产业基础，发挥比较优势，在积极拓展食用菌、设施蔬菜、水果等绿色、有机产业基地规模的基础上，推进木耳、香菇等菌类和草莓、蓝莓等果蔬加工。支持企业在初级加工的基础上开展精深加工，加大研发和技术引进力度，重点推进即食咸菜、饮料、焙烤食品、保健品等菌类深加工产品，果酱、果汁饮料、冻干粉、花青素、保健品等草莓、蓝莓深加工产品以及脱水蔬菜、速冻蔬菜、粉末蔬菜、即食蔬菜等蔬菜深加工产品的研发和生产，大大提高产品附加值，使菌类及果蔬加工业的经济发展迈入新台阶。</w:t>
      </w:r>
      <w:bookmarkStart w:id="24" w:name="_Hlk4054905"/>
      <w:r>
        <w:rPr>
          <w:rFonts w:hint="eastAsia" w:eastAsia="楷体"/>
        </w:rPr>
        <w:t>（</w:t>
      </w:r>
      <w:r>
        <w:rPr>
          <w:rFonts w:eastAsia="楷体"/>
        </w:rPr>
        <w:t>责任部门：工信局、农业农村局按职责分工牵头负责，其他相关部门配合</w:t>
      </w:r>
      <w:r>
        <w:rPr>
          <w:rFonts w:hint="eastAsia" w:eastAsia="楷体"/>
        </w:rPr>
        <w:t>）</w:t>
      </w:r>
    </w:p>
    <w:p>
      <w:pPr>
        <w:pStyle w:val="4"/>
        <w:ind w:firstLine="643"/>
        <w:rPr>
          <w:color w:val="FF0000"/>
        </w:rPr>
      </w:pPr>
      <w:bookmarkStart w:id="25" w:name="_Toc114213716"/>
      <w:r>
        <w:rPr>
          <w:rFonts w:hint="eastAsia"/>
          <w:sz w:val="32"/>
        </w:rPr>
        <w:t>3</w:t>
      </w:r>
      <w:r>
        <w:rPr>
          <w:sz w:val="32"/>
        </w:rPr>
        <w:t>.</w:t>
      </w:r>
      <w:r>
        <w:rPr>
          <w:rFonts w:hint="eastAsia"/>
          <w:sz w:val="32"/>
        </w:rPr>
        <w:t>大力发展建筑及其配套产业和装备制造业</w:t>
      </w:r>
      <w:bookmarkEnd w:id="25"/>
    </w:p>
    <w:p>
      <w:pPr>
        <w:ind w:firstLine="643"/>
        <w:rPr>
          <w:rFonts w:eastAsia="楷体"/>
        </w:rPr>
      </w:pPr>
      <w:r>
        <w:rPr>
          <w:rFonts w:hint="eastAsia"/>
          <w:b/>
        </w:rPr>
        <w:t>培育发展建筑及其配套产业。</w:t>
      </w:r>
      <w:r>
        <w:rPr>
          <w:rFonts w:hint="eastAsia"/>
        </w:rPr>
        <w:t>瞄准产业发展趋势及市场发展方向，积极布局关键建筑材料、新型建筑材料等建筑及其配套产业，引进一批高资质建筑企业和建筑材料生产加工企业，深化与江苏绿可、碧桂园、中如建工等企业合作，建设建材产业基地，培育新的经济增长极。谋划建设建筑业配套产业园，打造“五厂两站一中心一基地”，（建筑产业化工厂、机电一体化工厂、绿色新型模架工厂、高新技术和智能化装备制造工厂、装饰部品和预制工厂、新型建筑装备租赁站、建筑材料物流站、绿色建筑科技孵化中心和建筑人才培训基地），围绕商砼、干粉砂浆、水泥物流销售，引进苏州绿可开工建设投资10亿元的装配式建筑产业园，推动投资3亿元占地400亩的建筑业配套园区起步区建设，启动投资10亿元的赛柏斯新型材料生产基地项目，推动中国建材、中联重科、北京住总等企业谋划建材生产项目。</w:t>
      </w:r>
      <w:r>
        <w:rPr>
          <w:rFonts w:hint="eastAsia" w:eastAsia="楷体"/>
        </w:rPr>
        <w:t>（</w:t>
      </w:r>
      <w:r>
        <w:rPr>
          <w:rFonts w:eastAsia="楷体"/>
        </w:rPr>
        <w:t>责任部门：工信局牵头负责，其他相关部门配合</w:t>
      </w:r>
      <w:r>
        <w:rPr>
          <w:rFonts w:hint="eastAsia" w:eastAsia="楷体"/>
        </w:rPr>
        <w:t>）</w:t>
      </w:r>
    </w:p>
    <w:p>
      <w:pPr>
        <w:ind w:firstLine="643"/>
        <w:rPr>
          <w:rFonts w:eastAsia="楷体"/>
        </w:rPr>
      </w:pPr>
      <w:r>
        <w:rPr>
          <w:rFonts w:hint="eastAsia"/>
          <w:b/>
        </w:rPr>
        <w:t>积极发展装备制造业。</w:t>
      </w:r>
      <w:r>
        <w:rPr>
          <w:rFonts w:hint="eastAsia"/>
        </w:rPr>
        <w:t>大力推进装备制造业发展，布局发展汽车及零部件等制造装备，同时促进装备制造业向智能化、高端化转型，打造成为梅河口市新的经济增长点。加大开放招商，吸引国内外在细分领域规模、实力、技术、品牌、市场优势比较明显的龙头企业落子布局，形成产业集聚、协同发展的装备制造产业发展格局。</w:t>
      </w:r>
      <w:r>
        <w:rPr>
          <w:rFonts w:hint="eastAsia"/>
          <w:color w:val="000000"/>
          <w:shd w:val="clear" w:color="auto" w:fill="FFFFFF"/>
        </w:rPr>
        <w:t>聚焦“旗E春城 旗动吉林”工作目标，全力以赴确保各项任务如期完成，加快推进新能源汽车等战略新兴产业发展和产业转型升级助力。</w:t>
      </w:r>
      <w:r>
        <w:rPr>
          <w:rFonts w:hint="eastAsia"/>
        </w:rPr>
        <w:t>引进西奥电梯东北销售总部落户。深化与长春汽开区、旭阳集团、北汽集团、上海申龙客车、青岛双星合作，加快建设汽车及零部件产业园，推进上海申龙（梅河口）有限公司新能源汽车生产线项目。</w:t>
      </w:r>
      <w:r>
        <w:rPr>
          <w:rFonts w:hint="eastAsia" w:eastAsia="楷体"/>
        </w:rPr>
        <w:t>（</w:t>
      </w:r>
      <w:r>
        <w:rPr>
          <w:rFonts w:eastAsia="楷体"/>
        </w:rPr>
        <w:t>责任部门：工信局牵头负责，其他相关部门配合</w:t>
      </w:r>
      <w:r>
        <w:rPr>
          <w:rFonts w:hint="eastAsia" w:eastAsia="楷体"/>
        </w:rPr>
        <w:t>）</w:t>
      </w:r>
    </w:p>
    <w:p>
      <w:pPr>
        <w:pStyle w:val="4"/>
        <w:ind w:firstLine="643"/>
        <w:rPr>
          <w:color w:val="FF0000"/>
        </w:rPr>
      </w:pPr>
      <w:bookmarkStart w:id="26" w:name="_Toc114213717"/>
      <w:r>
        <w:rPr>
          <w:rFonts w:hint="eastAsia"/>
          <w:sz w:val="32"/>
        </w:rPr>
        <w:t>4</w:t>
      </w:r>
      <w:r>
        <w:rPr>
          <w:sz w:val="32"/>
        </w:rPr>
        <w:t>.</w:t>
      </w:r>
      <w:r>
        <w:rPr>
          <w:rFonts w:hint="eastAsia"/>
          <w:sz w:val="32"/>
        </w:rPr>
        <w:t>加快发展新兴产业</w:t>
      </w:r>
      <w:bookmarkEnd w:id="26"/>
    </w:p>
    <w:p>
      <w:pPr>
        <w:ind w:firstLine="643"/>
      </w:pPr>
      <w:r>
        <w:rPr>
          <w:rFonts w:hint="eastAsia"/>
          <w:b/>
          <w:bCs/>
        </w:rPr>
        <w:t>积极发展新材料产业。</w:t>
      </w:r>
      <w:r>
        <w:rPr>
          <w:rFonts w:hint="eastAsia"/>
        </w:rPr>
        <w:t>巩固扩大弘业钢管、跃兴公司等新材料、专利产品的市场份额，培育发展成为全省乃至全国有影响力、有地位的龙头企业。</w:t>
      </w:r>
      <w:r>
        <w:rPr>
          <w:rFonts w:hint="eastAsia"/>
          <w:b/>
          <w:bCs/>
        </w:rPr>
        <w:t>大力发展清洁能源和环保产业。</w:t>
      </w:r>
      <w:r>
        <w:rPr>
          <w:rFonts w:hint="eastAsia"/>
        </w:rPr>
        <w:t>发展以风能、太阳能、生物质能为重点的新能源产业，加快吉林省梅河口市新能源产业基地、梅河口市秸秆能源化利用、华电集团30MW乡村振兴风电项目、中能建投梅河口市300MW风电等项目建设；发展环保产业，推进环保产业园、纳米过滤膜材料制备及成套膜设备制造基地、吉林省泽盛环保工程有限公司生态环保、吉林双泰秸秆利用有限公司秸秆纤维素等项目建设。</w:t>
      </w:r>
      <w:r>
        <w:rPr>
          <w:rFonts w:hint="eastAsia"/>
          <w:b/>
          <w:bCs/>
        </w:rPr>
        <w:t>培育发展信息产业。</w:t>
      </w:r>
      <w:r>
        <w:rPr>
          <w:rFonts w:hint="eastAsia"/>
        </w:rPr>
        <w:t>以软件开发及应用、大数据网络信息平台建设为重点，重点培育“互联网+医疗”、工业互联网、物联网、区块链、大数据、“5G+”等新兴产业，培育引进一批“专精特新”企业，打造经济新增长点。</w:t>
      </w:r>
      <w:r>
        <w:rPr>
          <w:rFonts w:hint="eastAsia" w:eastAsia="楷体"/>
        </w:rPr>
        <w:t>（</w:t>
      </w:r>
      <w:r>
        <w:rPr>
          <w:rFonts w:eastAsia="楷体"/>
        </w:rPr>
        <w:t>责任部门：工信局牵头负责，其他相关部门配合</w:t>
      </w:r>
      <w:r>
        <w:rPr>
          <w:rFonts w:hint="eastAsia" w:eastAsia="楷体"/>
        </w:rPr>
        <w:t>）</w:t>
      </w:r>
    </w:p>
    <w:bookmarkEnd w:id="24"/>
    <w:p>
      <w:pPr>
        <w:pStyle w:val="3"/>
        <w:ind w:firstLine="643"/>
      </w:pPr>
      <w:bookmarkStart w:id="27" w:name="_Toc114213718"/>
      <w:r>
        <w:t>（</w:t>
      </w:r>
      <w:r>
        <w:rPr>
          <w:rFonts w:hint="eastAsia"/>
        </w:rPr>
        <w:t>三</w:t>
      </w:r>
      <w:r>
        <w:t>）</w:t>
      </w:r>
      <w:bookmarkEnd w:id="27"/>
      <w:r>
        <w:rPr>
          <w:rFonts w:hint="eastAsia"/>
        </w:rPr>
        <w:t>打造全域旅游，支撑东部环线发展。</w:t>
      </w:r>
    </w:p>
    <w:p>
      <w:pPr>
        <w:pStyle w:val="4"/>
        <w:ind w:firstLine="643"/>
        <w:rPr>
          <w:color w:val="FF0000"/>
        </w:rPr>
      </w:pPr>
      <w:bookmarkStart w:id="28" w:name="_Toc114213719"/>
      <w:r>
        <w:rPr>
          <w:sz w:val="32"/>
        </w:rPr>
        <w:t>1.</w:t>
      </w:r>
      <w:r>
        <w:rPr>
          <w:rFonts w:hint="eastAsia"/>
          <w:sz w:val="32"/>
        </w:rPr>
        <w:t>巩固</w:t>
      </w:r>
      <w:r>
        <w:rPr>
          <w:sz w:val="32"/>
        </w:rPr>
        <w:t>国家全域旅游示范区</w:t>
      </w:r>
      <w:r>
        <w:rPr>
          <w:rFonts w:hint="eastAsia"/>
          <w:sz w:val="32"/>
        </w:rPr>
        <w:t>建设</w:t>
      </w:r>
      <w:bookmarkEnd w:id="28"/>
    </w:p>
    <w:p>
      <w:pPr>
        <w:ind w:firstLine="640"/>
        <w:rPr>
          <w:rFonts w:eastAsia="楷体"/>
        </w:rPr>
      </w:pPr>
      <w:r>
        <w:rPr>
          <w:rFonts w:hint="eastAsia"/>
        </w:rPr>
        <w:t>全面实施全域旅游发展战略，</w:t>
      </w:r>
      <w:r>
        <w:t>依托梅河口市山水生态、历史人文、特色产业三大旅游资源，充分发挥作为</w:t>
      </w:r>
      <w:r>
        <w:rPr>
          <w:rFonts w:hint="eastAsia"/>
        </w:rPr>
        <w:t>“</w:t>
      </w:r>
      <w:r>
        <w:t>环长白山生态休闲观光圈</w:t>
      </w:r>
      <w:r>
        <w:rPr>
          <w:rFonts w:hint="eastAsia"/>
        </w:rPr>
        <w:t>”</w:t>
      </w:r>
      <w:r>
        <w:t>西北部重要的节点城市的区位交通优势，打造长通白延吉长避暑冰雪生态旅游大环线中的优质休闲度假名城，</w:t>
      </w:r>
      <w:r>
        <w:rPr>
          <w:rFonts w:hint="eastAsia"/>
        </w:rPr>
        <w:t>巩固提升</w:t>
      </w:r>
      <w:r>
        <w:t>国家全域旅游示范区</w:t>
      </w:r>
      <w:r>
        <w:rPr>
          <w:rFonts w:hint="eastAsia"/>
        </w:rPr>
        <w:t>创建成果</w:t>
      </w:r>
      <w:r>
        <w:t>。</w:t>
      </w:r>
      <w:r>
        <w:rPr>
          <w:rFonts w:hint="eastAsia"/>
        </w:rPr>
        <w:t>编制《梅河口市西部旅游环线规划》，通过连点、划线、成片的方式，整合梅河口市西部文旅资源，打造形成特色文旅品牌。主动对接长春现代化都市圈建设，深化对接合作，将梅河口市打造成长春市的后花园和会客厅。</w:t>
      </w:r>
      <w:r>
        <w:t>提升</w:t>
      </w:r>
      <w:r>
        <w:rPr>
          <w:rFonts w:hint="eastAsia"/>
        </w:rPr>
        <w:t>梅河</w:t>
      </w:r>
      <w:r>
        <w:t>品牌形象，</w:t>
      </w:r>
      <w:r>
        <w:rPr>
          <w:rFonts w:hint="eastAsia"/>
        </w:rPr>
        <w:t>推进世基啤酒生态城、五奎山第五世界旅游度假区项目、天宝国际颐养冰雪旅游城等项目，</w:t>
      </w:r>
      <w:r>
        <w:t>着力构建</w:t>
      </w:r>
      <w:r>
        <w:rPr>
          <w:rFonts w:hint="eastAsia"/>
        </w:rPr>
        <w:t>工业旅游、</w:t>
      </w:r>
      <w:r>
        <w:t>商贸旅游、生态观光、休闲度假、康体养老、休闲农业、民俗文化旅游体系，统一规划布局、优化公共服务、推进产业融合，强化城市中心区旅游集散核心功能，建设202国道休闲景观带，提升北中南三大旅游功能区，着力构建</w:t>
      </w:r>
      <w:r>
        <w:rPr>
          <w:rFonts w:hint="eastAsia"/>
        </w:rPr>
        <w:t>“一城引领、两翼齐飞”的全域旅游发展布局</w:t>
      </w:r>
      <w:r>
        <w:t>。</w:t>
      </w:r>
      <w:r>
        <w:rPr>
          <w:rFonts w:hint="eastAsia" w:eastAsia="楷体"/>
        </w:rPr>
        <w:t>（</w:t>
      </w:r>
      <w:r>
        <w:rPr>
          <w:rFonts w:eastAsia="楷体"/>
        </w:rPr>
        <w:t>责任部门：</w:t>
      </w:r>
      <w:r>
        <w:rPr>
          <w:rFonts w:hint="eastAsia" w:eastAsia="楷体"/>
        </w:rPr>
        <w:t>旅游服务中心、</w:t>
      </w:r>
      <w:r>
        <w:rPr>
          <w:rFonts w:eastAsia="楷体"/>
        </w:rPr>
        <w:t>卫健局、农业农村局</w:t>
      </w:r>
      <w:bookmarkStart w:id="29" w:name="_Hlk4056596"/>
      <w:r>
        <w:rPr>
          <w:rFonts w:eastAsia="楷体"/>
        </w:rPr>
        <w:t>按职责分工</w:t>
      </w:r>
      <w:bookmarkEnd w:id="29"/>
      <w:r>
        <w:rPr>
          <w:rFonts w:eastAsia="楷体"/>
        </w:rPr>
        <w:t>牵头负责，其他相关部门配合</w:t>
      </w:r>
      <w:r>
        <w:rPr>
          <w:rFonts w:hint="eastAsia" w:eastAsia="楷体"/>
        </w:rPr>
        <w:t>）</w:t>
      </w:r>
    </w:p>
    <w:p>
      <w:pPr>
        <w:pStyle w:val="4"/>
        <w:ind w:firstLine="643"/>
        <w:rPr>
          <w:b w:val="0"/>
          <w:bCs w:val="0"/>
          <w:sz w:val="32"/>
        </w:rPr>
      </w:pPr>
      <w:bookmarkStart w:id="30" w:name="_Toc114213720"/>
      <w:r>
        <w:rPr>
          <w:sz w:val="32"/>
        </w:rPr>
        <w:t>2.打造生态避暑休闲旅游</w:t>
      </w:r>
      <w:bookmarkEnd w:id="30"/>
    </w:p>
    <w:p>
      <w:pPr>
        <w:ind w:firstLine="640"/>
        <w:rPr>
          <w:rFonts w:eastAsia="楷体"/>
        </w:rPr>
      </w:pPr>
      <w:r>
        <w:t>借助</w:t>
      </w:r>
      <w:r>
        <w:rPr>
          <w:rFonts w:hint="eastAsia"/>
        </w:rPr>
        <w:t>“</w:t>
      </w:r>
      <w:r>
        <w:t>清爽吉林·22</w:t>
      </w:r>
      <w:r>
        <w:rPr>
          <w:rFonts w:hint="eastAsia" w:ascii="宋体" w:hAnsi="宋体" w:eastAsia="宋体" w:cs="宋体"/>
        </w:rPr>
        <w:t>℃</w:t>
      </w:r>
      <w:r>
        <w:t>的夏天</w:t>
      </w:r>
      <w:r>
        <w:rPr>
          <w:rFonts w:hint="eastAsia"/>
        </w:rPr>
        <w:t>”</w:t>
      </w:r>
      <w:r>
        <w:t>的品牌优势，深度挖掘梅河口市山脉、森林、江河、湖泊、湿地等生态旅游资源，开发生态休闲、消夏避暑旅游产品，培育生态精品线路，发展生态避暑休闲旅游。依托本市丰富的森林旅游资源，开发森林健身、森林探险、森林娱乐、徒步野营等森林旅游产品，推进五奎山、鸡冠山、杏岭、玫瑰山等森林养生休闲度假项目建设。整体连片开发水系资源，开展水上观光、水上赛事、滨水休闲、湿地观光等旅游活动，重点推进</w:t>
      </w:r>
      <w:r>
        <w:rPr>
          <w:rFonts w:hint="eastAsia"/>
        </w:rPr>
        <w:t>磨盘湖水库、</w:t>
      </w:r>
      <w:r>
        <w:t>辉发河湿地公园、辉发河休闲带旅游项目建设。围绕高山避暑、乡村避暑、森林避暑、滨水避暑，推出各种特色避暑主题活动，打造集旅游、避暑、休闲、研学、美食、音乐、养生于一体的生态避暑休闲旅游。</w:t>
      </w:r>
      <w:bookmarkStart w:id="31" w:name="_Hlk4067150"/>
      <w:r>
        <w:rPr>
          <w:rFonts w:hint="eastAsia" w:eastAsia="楷体"/>
        </w:rPr>
        <w:t>（</w:t>
      </w:r>
      <w:r>
        <w:rPr>
          <w:rFonts w:eastAsia="楷体"/>
        </w:rPr>
        <w:t>责任部门：</w:t>
      </w:r>
      <w:r>
        <w:rPr>
          <w:rFonts w:hint="eastAsia" w:eastAsia="楷体"/>
        </w:rPr>
        <w:t>旅游服务中心、</w:t>
      </w:r>
      <w:r>
        <w:rPr>
          <w:rFonts w:eastAsia="楷体"/>
        </w:rPr>
        <w:t>文广旅局牵头负责，其他相关部门配合</w:t>
      </w:r>
      <w:r>
        <w:rPr>
          <w:rFonts w:hint="eastAsia" w:eastAsia="楷体"/>
        </w:rPr>
        <w:t>）</w:t>
      </w:r>
    </w:p>
    <w:bookmarkEnd w:id="31"/>
    <w:p>
      <w:pPr>
        <w:pStyle w:val="4"/>
        <w:ind w:firstLine="643"/>
        <w:rPr>
          <w:b w:val="0"/>
          <w:bCs w:val="0"/>
          <w:sz w:val="32"/>
        </w:rPr>
      </w:pPr>
      <w:bookmarkStart w:id="32" w:name="_Toc114213721"/>
      <w:r>
        <w:rPr>
          <w:sz w:val="32"/>
        </w:rPr>
        <w:t>3.发展特色健康养生旅游</w:t>
      </w:r>
      <w:bookmarkEnd w:id="32"/>
    </w:p>
    <w:p>
      <w:pPr>
        <w:ind w:firstLine="640"/>
        <w:rPr>
          <w:rFonts w:eastAsia="楷体"/>
        </w:rPr>
      </w:pPr>
      <w:r>
        <w:t>充分依托梅河口市优良的生态资源和医药健康产业基础，推动旅游与健康养老、康体休闲等融合发展，发展以中医药文化和健康养生为主线的特色健康养生旅游。结合梅河口中草药基地开发，探索打造集科技农业、中药材种植、田园风情生态休闲旅游体验于一体的养生观赏基地，开发养生授课、名医问诊、慢活吧、养生茶楼和药膳养生餐厅旅游产品。加强与高等院校和医疗机构合作，开展中医特色治疗、康复理疗、针灸推拿、人工按摩等诊疗项目，努力打造康复疗养、养生保健、药膳食疗为核心的中医药文化养生旅游基地。重点推进南山生态城、鸡冠山、五奎山等项目建设。</w:t>
      </w:r>
      <w:r>
        <w:rPr>
          <w:rFonts w:hint="eastAsia" w:eastAsia="楷体"/>
        </w:rPr>
        <w:t>（</w:t>
      </w:r>
      <w:r>
        <w:rPr>
          <w:rFonts w:eastAsia="楷体"/>
        </w:rPr>
        <w:t>责任部门：</w:t>
      </w:r>
      <w:bookmarkStart w:id="33" w:name="_Hlk112313254"/>
      <w:r>
        <w:rPr>
          <w:rFonts w:eastAsia="楷体"/>
        </w:rPr>
        <w:t>文广旅局</w:t>
      </w:r>
      <w:bookmarkEnd w:id="33"/>
      <w:r>
        <w:rPr>
          <w:rFonts w:eastAsia="楷体"/>
        </w:rPr>
        <w:t>、卫健局、民政局按职责分工牵头负责，其他相关部门配合</w:t>
      </w:r>
      <w:r>
        <w:rPr>
          <w:rFonts w:hint="eastAsia" w:eastAsia="楷体"/>
        </w:rPr>
        <w:t>）</w:t>
      </w:r>
    </w:p>
    <w:p>
      <w:pPr>
        <w:pStyle w:val="4"/>
        <w:ind w:firstLine="643"/>
        <w:rPr>
          <w:sz w:val="32"/>
        </w:rPr>
      </w:pPr>
      <w:bookmarkStart w:id="34" w:name="_Toc114213722"/>
      <w:r>
        <w:rPr>
          <w:sz w:val="32"/>
        </w:rPr>
        <w:t>4.推进历史文化旅游发展</w:t>
      </w:r>
      <w:bookmarkEnd w:id="34"/>
    </w:p>
    <w:p>
      <w:pPr>
        <w:ind w:firstLine="640"/>
        <w:rPr>
          <w:rFonts w:eastAsia="楷体"/>
        </w:rPr>
      </w:pPr>
      <w:r>
        <w:t>注重历史文化的保护、传承和适度开发，深度挖掘历史文化资源，开发旅游产品，发展历史文化旅游。依托五奎山风景区、鸡冠山、磨盘湖水库等历史文化资源，开发生态观光、休闲度假、康体运动、特色民宿等旅游产品；依托东北局梅河口会议旧址，开发爱国教育、军事科教、户外拓展等旅游产品，打造梅河口红色文化旅游目的地；依托九龙口古迹、金代摩崖石刻、碱水石棚墓群，大力挖掘金代文化、碑刻文化等，讲好梅河口市悠久的历史文化故事；保护海龙古镇的原始风貌，以老街巷、老房子、老石板路、老物件等为重要载体，开发具有古镇文化的民宿客栈、特色餐饮、精品酒店、文化演艺等旅游产品，打造以文化体验、民俗休闲、养生养老为主要功能的文化旅游区。</w:t>
      </w:r>
      <w:r>
        <w:rPr>
          <w:rFonts w:hint="eastAsia" w:eastAsia="楷体"/>
        </w:rPr>
        <w:t>（</w:t>
      </w:r>
      <w:r>
        <w:rPr>
          <w:rFonts w:eastAsia="楷体"/>
        </w:rPr>
        <w:t>责任部门：</w:t>
      </w:r>
      <w:r>
        <w:rPr>
          <w:rFonts w:hint="eastAsia" w:eastAsia="楷体"/>
        </w:rPr>
        <w:t>旅游服务中心</w:t>
      </w:r>
      <w:r>
        <w:rPr>
          <w:rFonts w:eastAsia="楷体"/>
        </w:rPr>
        <w:t>牵头负责，其他相关部门配合</w:t>
      </w:r>
      <w:r>
        <w:rPr>
          <w:rFonts w:hint="eastAsia" w:eastAsia="楷体"/>
        </w:rPr>
        <w:t>）</w:t>
      </w:r>
    </w:p>
    <w:p>
      <w:pPr>
        <w:pStyle w:val="4"/>
        <w:ind w:firstLine="643"/>
        <w:rPr>
          <w:sz w:val="32"/>
        </w:rPr>
      </w:pPr>
      <w:bookmarkStart w:id="35" w:name="_Toc114213723"/>
      <w:r>
        <w:rPr>
          <w:sz w:val="32"/>
        </w:rPr>
        <w:t>5.拓展旅游业发展新领域</w:t>
      </w:r>
      <w:bookmarkEnd w:id="35"/>
    </w:p>
    <w:p>
      <w:pPr>
        <w:ind w:firstLine="640"/>
        <w:rPr>
          <w:rFonts w:eastAsia="楷体"/>
        </w:rPr>
      </w:pPr>
      <w:r>
        <w:t>结合旅游市场发展趋势，立足梅河口市实际，推进</w:t>
      </w:r>
      <w:r>
        <w:rPr>
          <w:rFonts w:hint="eastAsia"/>
        </w:rPr>
        <w:t>“</w:t>
      </w:r>
      <w:r>
        <w:t>旅游+</w:t>
      </w:r>
      <w:r>
        <w:rPr>
          <w:rFonts w:hint="eastAsia"/>
        </w:rPr>
        <w:t>”</w:t>
      </w:r>
      <w:r>
        <w:t>行动，培育新型旅游业态，拓展旅游业发展新领域。</w:t>
      </w:r>
      <w:r>
        <w:rPr>
          <w:rFonts w:hint="eastAsia"/>
        </w:rPr>
        <w:t>“</w:t>
      </w:r>
      <w:r>
        <w:t>旅游+小镇</w:t>
      </w:r>
      <w:r>
        <w:rPr>
          <w:rFonts w:hint="eastAsia"/>
        </w:rPr>
        <w:t>”</w:t>
      </w:r>
      <w:r>
        <w:t>，推动旅游与小镇建设融合发展，加强旅游小镇服务设施、特色风味饮食街、特色旅游文化（商品）街区、特色文化娱乐设施建设，打造集休闲观光、文化体验、康体养生、生态度假、运动体验功能于一体的莲河小镇，打造湾龙乡、小杨乡目的地型旅游镇，打造海龙镇服务型旅游镇，打造山城镇门户型旅游镇。</w:t>
      </w:r>
      <w:r>
        <w:rPr>
          <w:rFonts w:hint="eastAsia"/>
        </w:rPr>
        <w:t>“</w:t>
      </w:r>
      <w:r>
        <w:t>旅游+现代农业</w:t>
      </w:r>
      <w:r>
        <w:rPr>
          <w:rFonts w:hint="eastAsia"/>
        </w:rPr>
        <w:t>”</w:t>
      </w:r>
      <w:r>
        <w:t>，充分利用乡村农业资源优势，促进农村地区产业融合，开发农事体验、农家乐、休闲民宿、田园观光等旅游产品，开发现代农业精品旅游线路。</w:t>
      </w:r>
      <w:r>
        <w:rPr>
          <w:rFonts w:hint="eastAsia"/>
        </w:rPr>
        <w:t>“</w:t>
      </w:r>
      <w:r>
        <w:t>旅游+体育</w:t>
      </w:r>
      <w:r>
        <w:rPr>
          <w:rFonts w:hint="eastAsia"/>
        </w:rPr>
        <w:t>”</w:t>
      </w:r>
      <w:r>
        <w:t>，利用山脉、水系、冰雪等资源，推动</w:t>
      </w:r>
      <w:r>
        <w:rPr>
          <w:rFonts w:hint="eastAsia"/>
        </w:rPr>
        <w:t>“</w:t>
      </w:r>
      <w:r>
        <w:t>旅游+体育</w:t>
      </w:r>
      <w:r>
        <w:rPr>
          <w:rFonts w:hint="eastAsia"/>
        </w:rPr>
        <w:t>”</w:t>
      </w:r>
      <w:r>
        <w:t>发展，开发水上运动、冰上运动、越野徒步、攀岩、越野赛车、滑雪等旅游产品，不断丰富特色体育旅游产品供给。</w:t>
      </w:r>
      <w:r>
        <w:rPr>
          <w:rFonts w:hint="eastAsia" w:eastAsia="楷体"/>
        </w:rPr>
        <w:t>（</w:t>
      </w:r>
      <w:r>
        <w:rPr>
          <w:rFonts w:eastAsia="楷体"/>
        </w:rPr>
        <w:t>责任部门：</w:t>
      </w:r>
      <w:r>
        <w:rPr>
          <w:rFonts w:hint="eastAsia" w:eastAsia="楷体"/>
        </w:rPr>
        <w:t>旅游服务中心</w:t>
      </w:r>
      <w:r>
        <w:rPr>
          <w:rFonts w:eastAsia="楷体"/>
        </w:rPr>
        <w:t>、农业农村局、住建局按职责分工牵头负责，其他相关部门配合</w:t>
      </w:r>
      <w:r>
        <w:rPr>
          <w:rFonts w:hint="eastAsia" w:eastAsia="楷体"/>
        </w:rPr>
        <w:t>）</w:t>
      </w:r>
    </w:p>
    <w:p>
      <w:pPr>
        <w:pStyle w:val="4"/>
        <w:ind w:firstLine="643"/>
        <w:rPr>
          <w:sz w:val="32"/>
        </w:rPr>
      </w:pPr>
      <w:bookmarkStart w:id="36" w:name="_Toc114213724"/>
      <w:r>
        <w:rPr>
          <w:sz w:val="32"/>
        </w:rPr>
        <w:t>6.完善旅游公共服务设施</w:t>
      </w:r>
      <w:bookmarkEnd w:id="36"/>
    </w:p>
    <w:p>
      <w:pPr>
        <w:ind w:firstLine="640"/>
        <w:rPr>
          <w:rFonts w:eastAsia="楷体"/>
        </w:rPr>
      </w:pPr>
      <w:r>
        <w:t>打造梅河口市旅游集散中心，强化综合服务功能，加强旅游小镇、重点旅游景区、度假区旅游集散中心建设，为游客提供方便、快捷的旅游集散服务。依托交通路网和水系分布，加强景点、乡村整合规划和沿线旅游景区、特色风情村镇、旅游营地、驿站和绿道等旅游服务设施建设，重点打造202国道休闲景观带和辉发河滨水休闲带。加快旅游营地驿站建设，开发自驾车露营旅游产品，推出一批特色主题自驾旅游线路。推进</w:t>
      </w:r>
      <w:r>
        <w:rPr>
          <w:rFonts w:hint="eastAsia"/>
        </w:rPr>
        <w:t>“</w:t>
      </w:r>
      <w:r>
        <w:t>绿道+骑行公路</w:t>
      </w:r>
      <w:r>
        <w:rPr>
          <w:rFonts w:hint="eastAsia"/>
        </w:rPr>
        <w:t>”</w:t>
      </w:r>
      <w:r>
        <w:t>慢行系统建设，完善慢行系统功能设施，打造连通梅河口城区的生态绿道网络。深入推进</w:t>
      </w:r>
      <w:r>
        <w:rPr>
          <w:rFonts w:hint="eastAsia"/>
        </w:rPr>
        <w:t>“</w:t>
      </w:r>
      <w:r>
        <w:t>厕所革命</w:t>
      </w:r>
      <w:r>
        <w:rPr>
          <w:rFonts w:hint="eastAsia"/>
        </w:rPr>
        <w:t>”</w:t>
      </w:r>
      <w:r>
        <w:t>，加快重点旅游厕所改扩建，提升旅游厕所特色，实现城乡旅游厕所全覆盖。加快建设</w:t>
      </w:r>
      <w:r>
        <w:rPr>
          <w:rFonts w:hint="eastAsia"/>
        </w:rPr>
        <w:t>“</w:t>
      </w:r>
      <w:r>
        <w:t>智慧梅河口</w:t>
      </w:r>
      <w:r>
        <w:rPr>
          <w:rFonts w:hint="eastAsia"/>
        </w:rPr>
        <w:t>”</w:t>
      </w:r>
      <w:r>
        <w:t>，搭建梅河口市智慧旅游虚拟平台，对接全省的旅游大数据平台，构建智慧旅游服务体系。加强旅游标志标识建设，完善旅游交通和公共服务标识系统，推进旅游景区标识系统标准化，形成良好的自助旅游环境。完善旅游停车场建设，合理布局各类旅游停车场网点，确保停车场的规模和游客承载量相适应。</w:t>
      </w:r>
      <w:r>
        <w:rPr>
          <w:rFonts w:hint="eastAsia" w:eastAsia="楷体"/>
        </w:rPr>
        <w:t>（</w:t>
      </w:r>
      <w:r>
        <w:rPr>
          <w:rFonts w:eastAsia="楷体"/>
        </w:rPr>
        <w:t>责任部门：</w:t>
      </w:r>
      <w:r>
        <w:rPr>
          <w:rFonts w:hint="eastAsia" w:eastAsia="楷体"/>
        </w:rPr>
        <w:t>旅游服务中心</w:t>
      </w:r>
      <w:r>
        <w:rPr>
          <w:rFonts w:eastAsia="楷体"/>
        </w:rPr>
        <w:t>、住建局按职责分工牵头负责，其他相关部门配合</w:t>
      </w:r>
      <w:r>
        <w:rPr>
          <w:rFonts w:hint="eastAsia" w:eastAsia="楷体"/>
        </w:rPr>
        <w:t>）</w:t>
      </w:r>
    </w:p>
    <w:p>
      <w:pPr>
        <w:pStyle w:val="4"/>
        <w:ind w:firstLine="643"/>
        <w:rPr>
          <w:sz w:val="32"/>
        </w:rPr>
      </w:pPr>
      <w:bookmarkStart w:id="37" w:name="_Toc114213725"/>
      <w:r>
        <w:rPr>
          <w:sz w:val="32"/>
        </w:rPr>
        <w:t>7.提升旅游发展要素水平</w:t>
      </w:r>
      <w:bookmarkEnd w:id="37"/>
    </w:p>
    <w:p>
      <w:pPr>
        <w:ind w:firstLine="640"/>
        <w:rPr>
          <w:rFonts w:eastAsia="楷体"/>
        </w:rPr>
      </w:pPr>
      <w:r>
        <w:t>提升餐饮业发展品质，注重依托梅河口市果仁、食用菌、山野菜以及绿优米、蔬菜、畜禽等，开发具有当地特色的菜品，深入挖掘民间传统小吃，推出金牌小吃，打造梅河口特色餐饮品牌。发展新型住宿业，支持依托生态资源、乡村资源和景区景点，发展以当地特色文化为主题的精品度假村、乡村主题酒店、精品民宿、帐篷酒店、自驾车旅居车营地新型住宿业态。</w:t>
      </w:r>
      <w:r>
        <w:rPr>
          <w:rFonts w:hint="eastAsia"/>
        </w:rPr>
        <w:t>打造梅河人家品牌住宿。</w:t>
      </w:r>
      <w:r>
        <w:t>优化旅行社业，鼓励在线旅游企业进行全产业链运营，提高集团化、国际化发展水平。推动传统旅行社转型发展，支持旅行社服务网络进社区、进农村。</w:t>
      </w:r>
      <w:r>
        <w:rPr>
          <w:rFonts w:hint="eastAsia" w:eastAsia="楷体"/>
        </w:rPr>
        <w:t>（</w:t>
      </w:r>
      <w:r>
        <w:rPr>
          <w:rFonts w:eastAsia="楷体"/>
        </w:rPr>
        <w:t>责任部门：</w:t>
      </w:r>
      <w:r>
        <w:rPr>
          <w:rFonts w:hint="eastAsia" w:eastAsia="楷体"/>
        </w:rPr>
        <w:t>旅游服务中心</w:t>
      </w:r>
      <w:r>
        <w:rPr>
          <w:rFonts w:eastAsia="楷体"/>
        </w:rPr>
        <w:t>牵头负责，其他相关部门配合</w:t>
      </w:r>
      <w:r>
        <w:rPr>
          <w:rFonts w:hint="eastAsia" w:eastAsia="楷体"/>
        </w:rPr>
        <w:t>）</w:t>
      </w:r>
    </w:p>
    <w:p>
      <w:pPr>
        <w:pStyle w:val="4"/>
        <w:ind w:firstLine="643"/>
        <w:rPr>
          <w:sz w:val="32"/>
        </w:rPr>
      </w:pPr>
      <w:bookmarkStart w:id="38" w:name="_Toc114213726"/>
      <w:r>
        <w:rPr>
          <w:sz w:val="32"/>
        </w:rPr>
        <w:t>8.实施旅游绿色发展战略</w:t>
      </w:r>
      <w:bookmarkEnd w:id="38"/>
    </w:p>
    <w:p>
      <w:pPr>
        <w:ind w:firstLine="640"/>
        <w:rPr>
          <w:rFonts w:eastAsia="楷体"/>
        </w:rPr>
      </w:pPr>
      <w:r>
        <w:t>践行绿色旅游消费观念，大力倡导绿色消费方式，引导旅游者低碳出行，大力推广公共交通、骑行或徒步等绿色生态出行方式，鼓励景区、酒店、饭店等采用节能、轻型、可回收的材料设备，减少一次性用品的使用。认真贯彻落实生态文明理念，严守生态保护红线、环境质量底线和资源利用上线，加强保护区和生态敏感区域的保护和修复，发展生态旅游。不断加强旅游环境保护，逐步实现城乡垃圾一体化处理，涉旅路边、河边、湖边达到美化、绿化、洁化。加大对景区及主要旅游景点的环境监管力度，加强环境基础设施建设和维护，对景区环境卫生保洁不到位的现象进行整治，有力提升旅游服务质量和管理水平，促进绿色引领旅游发展。</w:t>
      </w:r>
      <w:r>
        <w:rPr>
          <w:rFonts w:hint="eastAsia" w:eastAsia="楷体"/>
        </w:rPr>
        <w:t>（</w:t>
      </w:r>
      <w:r>
        <w:rPr>
          <w:rFonts w:eastAsia="楷体"/>
        </w:rPr>
        <w:t>责任部门：</w:t>
      </w:r>
      <w:r>
        <w:rPr>
          <w:rFonts w:hint="eastAsia" w:eastAsia="楷体"/>
        </w:rPr>
        <w:t>旅游服务中心</w:t>
      </w:r>
      <w:r>
        <w:rPr>
          <w:rFonts w:eastAsia="楷体"/>
        </w:rPr>
        <w:t>、生态环境局、住建局按职责分工牵头负责，其他相关部门配合</w:t>
      </w:r>
      <w:r>
        <w:rPr>
          <w:rFonts w:hint="eastAsia" w:eastAsia="楷体"/>
        </w:rPr>
        <w:t>）</w:t>
      </w:r>
    </w:p>
    <w:p>
      <w:pPr>
        <w:pStyle w:val="3"/>
        <w:keepNext w:val="0"/>
        <w:keepLines w:val="0"/>
        <w:widowControl/>
        <w:ind w:firstLine="643"/>
      </w:pPr>
      <w:bookmarkStart w:id="39" w:name="_Toc114213727"/>
      <w:r>
        <w:t>（</w:t>
      </w:r>
      <w:r>
        <w:rPr>
          <w:rFonts w:hint="eastAsia"/>
        </w:rPr>
        <w:t>四</w:t>
      </w:r>
      <w:r>
        <w:t>）构建优质交通网，拓展</w:t>
      </w:r>
      <w:r>
        <w:rPr>
          <w:rFonts w:hint="eastAsia"/>
        </w:rPr>
        <w:t>白松长通至辽宁大通道</w:t>
      </w:r>
      <w:r>
        <w:t>功能</w:t>
      </w:r>
      <w:bookmarkEnd w:id="39"/>
      <w:bookmarkStart w:id="40" w:name="_Toc114213728"/>
      <w:r>
        <w:rPr>
          <w:rFonts w:hint="eastAsia"/>
        </w:rPr>
        <w:t>。</w:t>
      </w:r>
    </w:p>
    <w:p>
      <w:pPr>
        <w:pStyle w:val="3"/>
        <w:keepNext w:val="0"/>
        <w:keepLines w:val="0"/>
        <w:widowControl/>
        <w:ind w:firstLine="643"/>
        <w:rPr>
          <w:color w:val="FF0000"/>
        </w:rPr>
      </w:pPr>
      <w:r>
        <w:t>1.大力推进铁路建设</w:t>
      </w:r>
      <w:bookmarkEnd w:id="40"/>
    </w:p>
    <w:p>
      <w:pPr>
        <w:ind w:firstLine="640"/>
        <w:rPr>
          <w:rFonts w:eastAsia="楷体"/>
        </w:rPr>
      </w:pPr>
      <w:r>
        <w:t>积极对接谋划建设</w:t>
      </w:r>
      <w:r>
        <w:rPr>
          <w:rFonts w:hint="eastAsia"/>
        </w:rPr>
        <w:t>长春</w:t>
      </w:r>
      <w:r>
        <w:t>-辽源-梅河-通化客运专线，加快四平-梅河-通化电气化铁路改造和建设，推进沈吉线扩能改造，与已有线路整合形成连接环渤海地区和沈阳、长吉都市圈的高速铁路网。</w:t>
      </w:r>
      <w:r>
        <w:rPr>
          <w:rFonts w:hint="eastAsia" w:eastAsia="楷体"/>
        </w:rPr>
        <w:t>（</w:t>
      </w:r>
      <w:r>
        <w:rPr>
          <w:rFonts w:eastAsia="楷体"/>
        </w:rPr>
        <w:t>责任部门：发改局牵头，其他相关部门配合</w:t>
      </w:r>
      <w:r>
        <w:rPr>
          <w:rFonts w:hint="eastAsia" w:eastAsia="楷体"/>
        </w:rPr>
        <w:t>）</w:t>
      </w:r>
    </w:p>
    <w:p>
      <w:pPr>
        <w:pStyle w:val="4"/>
        <w:ind w:firstLine="643"/>
        <w:rPr>
          <w:sz w:val="32"/>
        </w:rPr>
      </w:pPr>
      <w:bookmarkStart w:id="41" w:name="_Toc114213729"/>
      <w:r>
        <w:rPr>
          <w:sz w:val="32"/>
        </w:rPr>
        <w:t>2.加速完备公路网络</w:t>
      </w:r>
      <w:bookmarkEnd w:id="41"/>
    </w:p>
    <w:p>
      <w:pPr>
        <w:ind w:firstLine="640"/>
        <w:rPr>
          <w:rFonts w:eastAsia="楷体"/>
        </w:rPr>
      </w:pPr>
      <w:r>
        <w:t>构建以高速公路为骨架，国省干线公路为支撑，农村支线公路为基础的结构合理、层次分明、能力充分的公路网。改造干线公路，提高路况水平；</w:t>
      </w:r>
      <w:r>
        <w:rPr>
          <w:rFonts w:hint="eastAsia"/>
        </w:rPr>
        <w:t>加快实施东环绕越线、国道黑大线、梅辉一级公路等公路项目建设，推进农村公路和危桥改造、旅游路提档升级，</w:t>
      </w:r>
      <w:r>
        <w:t>形成连结市、乡镇、村的优质交通网</w:t>
      </w:r>
      <w:r>
        <w:rPr>
          <w:rFonts w:hint="eastAsia"/>
        </w:rPr>
        <w:t>，建设卫星城市</w:t>
      </w:r>
      <w:r>
        <w:t>。</w:t>
      </w:r>
      <w:r>
        <w:rPr>
          <w:rFonts w:hint="eastAsia" w:eastAsia="楷体"/>
        </w:rPr>
        <w:t>（</w:t>
      </w:r>
      <w:r>
        <w:rPr>
          <w:rFonts w:eastAsia="楷体"/>
        </w:rPr>
        <w:t>责任部门：</w:t>
      </w:r>
      <w:bookmarkStart w:id="42" w:name="_Hlk103672102"/>
      <w:r>
        <w:rPr>
          <w:rFonts w:eastAsia="楷体"/>
        </w:rPr>
        <w:t>交通局</w:t>
      </w:r>
      <w:bookmarkEnd w:id="42"/>
      <w:r>
        <w:rPr>
          <w:rFonts w:hint="eastAsia" w:eastAsia="楷体"/>
        </w:rPr>
        <w:t>牵头</w:t>
      </w:r>
      <w:r>
        <w:rPr>
          <w:rFonts w:eastAsia="楷体"/>
        </w:rPr>
        <w:t>，</w:t>
      </w:r>
      <w:r>
        <w:rPr>
          <w:rFonts w:hint="eastAsia" w:eastAsia="楷体"/>
        </w:rPr>
        <w:t>自然资源局等</w:t>
      </w:r>
      <w:r>
        <w:rPr>
          <w:rFonts w:eastAsia="楷体"/>
        </w:rPr>
        <w:t>其他相关部门配合</w:t>
      </w:r>
      <w:r>
        <w:rPr>
          <w:rFonts w:hint="eastAsia" w:eastAsia="楷体"/>
        </w:rPr>
        <w:t>）</w:t>
      </w:r>
    </w:p>
    <w:p>
      <w:pPr>
        <w:pStyle w:val="4"/>
        <w:ind w:firstLine="643"/>
        <w:rPr>
          <w:color w:val="FF0000"/>
        </w:rPr>
      </w:pPr>
      <w:bookmarkStart w:id="43" w:name="_Toc114213730"/>
      <w:r>
        <w:rPr>
          <w:sz w:val="32"/>
        </w:rPr>
        <w:t>3.提升运输服务品质</w:t>
      </w:r>
      <w:bookmarkEnd w:id="43"/>
    </w:p>
    <w:p>
      <w:pPr>
        <w:ind w:firstLine="640"/>
        <w:rPr>
          <w:rFonts w:eastAsia="楷体"/>
        </w:rPr>
      </w:pPr>
      <w:r>
        <w:t>推进交通枢纽换乘衔接服务。以实现乘客便捷出行和货物高效集疏运为出发点，完善综合交通枢纽的换乘和衔接功能。强化各种运输方式衔接，提高综合交通枢纽一体化服务水平和集散效率。完善梅河口市高速公路服务区旅游服务功能，优化普通国省干线公路服务设施布局，完善设施功能</w:t>
      </w:r>
      <w:r>
        <w:rPr>
          <w:rFonts w:hint="eastAsia"/>
        </w:rPr>
        <w:t>；依托旅游服务公司、旅游交通公司等，完善班线客运、包车客运、汽车租赁、旅游接待等运输服务功能，提升运输服务品质，推动交通运输与旅游产业融合发展</w:t>
      </w:r>
      <w:r>
        <w:t>。加强安全保障和应急处置能力建设。提升安全监管装备水平，加强应急体系建设。完善应急预案，构建应急指挥体系，建立各级道路运输应急保障运力储备，全面提升自然灾害、突发事件应急处置和抢险打捞能力。</w:t>
      </w:r>
      <w:bookmarkStart w:id="44" w:name="_Hlk3980616"/>
      <w:r>
        <w:rPr>
          <w:rFonts w:hint="eastAsia" w:eastAsia="楷体"/>
        </w:rPr>
        <w:t>（</w:t>
      </w:r>
      <w:r>
        <w:rPr>
          <w:rFonts w:eastAsia="楷体"/>
        </w:rPr>
        <w:t>责任部门：交通局牵头，其他相关部门配合</w:t>
      </w:r>
      <w:r>
        <w:rPr>
          <w:rFonts w:hint="eastAsia" w:eastAsia="楷体"/>
        </w:rPr>
        <w:t>）</w:t>
      </w:r>
    </w:p>
    <w:bookmarkEnd w:id="44"/>
    <w:p>
      <w:pPr>
        <w:pStyle w:val="4"/>
        <w:ind w:firstLine="643"/>
        <w:rPr>
          <w:sz w:val="32"/>
        </w:rPr>
      </w:pPr>
      <w:bookmarkStart w:id="45" w:name="_Toc114213731"/>
      <w:r>
        <w:rPr>
          <w:rFonts w:hint="eastAsia"/>
          <w:sz w:val="32"/>
        </w:rPr>
        <w:t>4</w:t>
      </w:r>
      <w:r>
        <w:rPr>
          <w:sz w:val="32"/>
        </w:rPr>
        <w:t>.积极发展绿色交通</w:t>
      </w:r>
      <w:bookmarkEnd w:id="45"/>
    </w:p>
    <w:p>
      <w:pPr>
        <w:ind w:firstLine="640"/>
        <w:rPr>
          <w:rFonts w:eastAsia="楷体"/>
        </w:rPr>
      </w:pPr>
      <w:r>
        <w:t>推进绿色基础设施创建。把生态保护理念贯穿到交通基础设施规划、设计、建设、运营和养护全过程，强力开展绿色铁路、绿色公路、绿色机场等创建活动。在铁路、公路沿线开展路域环境综合整治。积极推行生态环保设计，倡导生态选线选址，严守生态保护红线。完善生态保护工程措施，合理选用降低生态影响的工程结构、建筑材料和施工工艺，尽量少填少挖，追求取弃平衡。实施交通廊道绿化行动。落实国土绿化行动，大力推广公路边坡植被防护，在铁路、公路沿线大力开展绿化美化行动，提升生态功能和景观品质，支撑生态廊道构建。联合旅游等部门健全交通服务设施旅游服务功能，打造旅游风景道，促进交通旅游融合发展。</w:t>
      </w:r>
      <w:r>
        <w:rPr>
          <w:rFonts w:hint="eastAsia" w:eastAsia="楷体"/>
        </w:rPr>
        <w:t>（</w:t>
      </w:r>
      <w:r>
        <w:rPr>
          <w:rFonts w:eastAsia="楷体"/>
        </w:rPr>
        <w:t>责任部门：交通局、生态环境局按职责分工牵头负责，其他相关部门配合</w:t>
      </w:r>
      <w:r>
        <w:rPr>
          <w:rFonts w:hint="eastAsia" w:eastAsia="楷体"/>
        </w:rPr>
        <w:t>）</w:t>
      </w:r>
    </w:p>
    <w:p>
      <w:pPr>
        <w:pStyle w:val="4"/>
        <w:ind w:firstLine="643"/>
        <w:rPr>
          <w:color w:val="FF0000"/>
        </w:rPr>
      </w:pPr>
      <w:bookmarkStart w:id="46" w:name="_Toc114213732"/>
      <w:bookmarkStart w:id="47" w:name="_Toc103671900"/>
      <w:r>
        <w:rPr>
          <w:rFonts w:hint="eastAsia"/>
          <w:sz w:val="32"/>
        </w:rPr>
        <w:t>5</w:t>
      </w:r>
      <w:r>
        <w:rPr>
          <w:sz w:val="32"/>
        </w:rPr>
        <w:t>.加快通用机场建设</w:t>
      </w:r>
      <w:bookmarkEnd w:id="46"/>
      <w:bookmarkEnd w:id="47"/>
    </w:p>
    <w:p>
      <w:pPr>
        <w:ind w:firstLine="640"/>
        <w:rPr>
          <w:rFonts w:eastAsia="楷体"/>
          <w:color w:val="000000"/>
        </w:rPr>
      </w:pPr>
      <w:r>
        <w:rPr>
          <w:color w:val="000000"/>
        </w:rPr>
        <w:t>加快推进梅河口通用机场前期工作，进一步强化对外联系。</w:t>
      </w:r>
      <w:r>
        <w:rPr>
          <w:rFonts w:hint="eastAsia" w:eastAsia="楷体"/>
          <w:color w:val="000000"/>
        </w:rPr>
        <w:t>（</w:t>
      </w:r>
      <w:r>
        <w:rPr>
          <w:rFonts w:eastAsia="楷体"/>
          <w:color w:val="000000"/>
        </w:rPr>
        <w:t>责任部门：发改局牵头，其他相关部门配合</w:t>
      </w:r>
      <w:r>
        <w:rPr>
          <w:rFonts w:hint="eastAsia" w:eastAsia="楷体"/>
          <w:color w:val="000000"/>
        </w:rPr>
        <w:t>）</w:t>
      </w:r>
    </w:p>
    <w:p>
      <w:pPr>
        <w:pStyle w:val="3"/>
        <w:keepNext w:val="0"/>
        <w:ind w:firstLine="643"/>
      </w:pPr>
      <w:bookmarkStart w:id="48" w:name="_Toc114213733"/>
      <w:r>
        <w:t>（</w:t>
      </w:r>
      <w:r>
        <w:rPr>
          <w:rFonts w:hint="eastAsia"/>
        </w:rPr>
        <w:t>五</w:t>
      </w:r>
      <w:r>
        <w:t>）</w:t>
      </w:r>
      <w:bookmarkStart w:id="49" w:name="_Hlk112314952"/>
      <w:r>
        <w:rPr>
          <w:rFonts w:hint="eastAsia"/>
        </w:rPr>
        <w:t>夯实农业基础</w:t>
      </w:r>
      <w:r>
        <w:t>，</w:t>
      </w:r>
      <w:r>
        <w:rPr>
          <w:rFonts w:hint="eastAsia"/>
        </w:rPr>
        <w:t>助力构建</w:t>
      </w:r>
      <w:bookmarkStart w:id="50" w:name="_Hlk112314692"/>
      <w:r>
        <w:rPr>
          <w:rFonts w:hint="eastAsia"/>
        </w:rPr>
        <w:t>中西部粮食安全产业带</w:t>
      </w:r>
      <w:bookmarkEnd w:id="48"/>
      <w:bookmarkEnd w:id="49"/>
      <w:bookmarkEnd w:id="50"/>
      <w:r>
        <w:rPr>
          <w:rFonts w:hint="eastAsia"/>
        </w:rPr>
        <w:t>。</w:t>
      </w:r>
    </w:p>
    <w:p>
      <w:pPr>
        <w:pStyle w:val="4"/>
        <w:keepNext w:val="0"/>
        <w:ind w:firstLine="643"/>
        <w:rPr>
          <w:color w:val="FF0000"/>
        </w:rPr>
      </w:pPr>
      <w:bookmarkStart w:id="51" w:name="_Toc114213734"/>
      <w:r>
        <w:rPr>
          <w:sz w:val="32"/>
        </w:rPr>
        <w:t>1.</w:t>
      </w:r>
      <w:r>
        <w:rPr>
          <w:rFonts w:hint="eastAsia"/>
          <w:sz w:val="32"/>
        </w:rPr>
        <w:t>推进粮食产业提质增效</w:t>
      </w:r>
      <w:bookmarkEnd w:id="51"/>
    </w:p>
    <w:p>
      <w:pPr>
        <w:ind w:firstLine="640"/>
        <w:rPr>
          <w:rFonts w:eastAsia="楷体"/>
        </w:rPr>
      </w:pPr>
      <w:r>
        <w:rPr>
          <w:rFonts w:hint="eastAsia"/>
        </w:rPr>
        <w:t>深入实施藏粮于地、藏粮于技战略，促进粮食生产提质增效，确保粮食安全，全力保障“米袋子”。推进粮食绿色高质高效创建和优质粮食工程，立足国家级绿优水稻标准化示范区基础，充分发挥“梅河大米”中国国家地理标志产品品牌优势，依托丰源优品米业集团，扩大优质稻米种植面积，推进稻米规模化、标准化种植，集中连片流转小杨乡、山城镇、中和镇等海龙水库流域内水田面积5万亩，高标准建设绿优水稻标准化生产基地。</w:t>
      </w:r>
      <w:r>
        <w:rPr>
          <w:rFonts w:hint="eastAsia" w:eastAsia="楷体"/>
        </w:rPr>
        <w:t>（</w:t>
      </w:r>
      <w:r>
        <w:rPr>
          <w:rFonts w:eastAsia="楷体"/>
        </w:rPr>
        <w:t>责任部门：</w:t>
      </w:r>
      <w:r>
        <w:rPr>
          <w:rFonts w:hint="eastAsia" w:eastAsia="楷体"/>
        </w:rPr>
        <w:t>农业农村局</w:t>
      </w:r>
      <w:r>
        <w:rPr>
          <w:rFonts w:eastAsia="楷体"/>
        </w:rPr>
        <w:t>牵头，其他相关部门配合</w:t>
      </w:r>
      <w:r>
        <w:rPr>
          <w:rFonts w:hint="eastAsia" w:eastAsia="楷体"/>
        </w:rPr>
        <w:t>）</w:t>
      </w:r>
    </w:p>
    <w:p>
      <w:pPr>
        <w:pStyle w:val="4"/>
        <w:keepNext w:val="0"/>
        <w:ind w:firstLine="643"/>
        <w:rPr>
          <w:color w:val="FF0000"/>
        </w:rPr>
      </w:pPr>
      <w:bookmarkStart w:id="52" w:name="_Toc114213735"/>
      <w:r>
        <w:rPr>
          <w:rFonts w:hint="eastAsia"/>
          <w:sz w:val="32"/>
        </w:rPr>
        <w:t>2</w:t>
      </w:r>
      <w:r>
        <w:rPr>
          <w:sz w:val="32"/>
        </w:rPr>
        <w:t>.</w:t>
      </w:r>
      <w:r>
        <w:rPr>
          <w:rFonts w:hint="eastAsia"/>
          <w:sz w:val="32"/>
        </w:rPr>
        <w:t>大力实施“十百千万”工程</w:t>
      </w:r>
      <w:bookmarkEnd w:id="52"/>
    </w:p>
    <w:p>
      <w:pPr>
        <w:ind w:firstLine="640"/>
        <w:rPr>
          <w:rFonts w:eastAsia="楷体"/>
        </w:rPr>
      </w:pPr>
      <w:r>
        <w:rPr>
          <w:rFonts w:hint="eastAsia"/>
        </w:rPr>
        <w:t>深入实施“十百千万”工程，充分保障“菜篮子”“肉库”。加快培育1万户家庭农场、1万户庭院经济示范户，发挥其带头引领作用，促进产业发展。大力发展棚膜经济，依托山城镇、海龙镇及４个围城乡镇、6个沿202国道乡镇，打造环城及202线的棚膜经济带，发展蔬菜、瓜果等；采取专项债、政府补助、经营主体自筹等方式，建设1000亩冷棚、1000亩暖棚。支持设施园艺规模园区建设，蔬菜大地种植达到10万亩。发展壮大现代畜牧业，推进标准化规模化养殖，贯彻实施“秸秆变肉”暨千万头肉牛建设工程，加强肉牛强乡强村建设，抓好生猪、蛋鸡、长白飞鸭、梅花鹿等特色养殖，发展养殖100万头品牌猪、100万只品牌鸡和10万头牛。</w:t>
      </w:r>
      <w:r>
        <w:rPr>
          <w:rFonts w:hint="eastAsia" w:eastAsia="楷体"/>
        </w:rPr>
        <w:t>（</w:t>
      </w:r>
      <w:r>
        <w:rPr>
          <w:rFonts w:eastAsia="楷体"/>
        </w:rPr>
        <w:t>责任部门：</w:t>
      </w:r>
      <w:r>
        <w:rPr>
          <w:rFonts w:hint="eastAsia" w:eastAsia="楷体"/>
        </w:rPr>
        <w:t>农业农村局</w:t>
      </w:r>
      <w:r>
        <w:rPr>
          <w:rFonts w:eastAsia="楷体"/>
        </w:rPr>
        <w:t>牵头，其他相关部门配合</w:t>
      </w:r>
      <w:r>
        <w:rPr>
          <w:rFonts w:hint="eastAsia" w:eastAsia="楷体"/>
        </w:rPr>
        <w:t>）</w:t>
      </w:r>
    </w:p>
    <w:p>
      <w:pPr>
        <w:pStyle w:val="4"/>
        <w:keepNext w:val="0"/>
        <w:ind w:firstLine="643"/>
        <w:rPr>
          <w:sz w:val="32"/>
        </w:rPr>
      </w:pPr>
      <w:bookmarkStart w:id="53" w:name="_Toc114213736"/>
      <w:r>
        <w:rPr>
          <w:rFonts w:hint="eastAsia"/>
          <w:sz w:val="32"/>
        </w:rPr>
        <w:t>3</w:t>
      </w:r>
      <w:r>
        <w:rPr>
          <w:sz w:val="32"/>
        </w:rPr>
        <w:t>.</w:t>
      </w:r>
      <w:r>
        <w:rPr>
          <w:rFonts w:hint="eastAsia"/>
          <w:sz w:val="32"/>
        </w:rPr>
        <w:t>加快发展特色农业产业</w:t>
      </w:r>
      <w:bookmarkEnd w:id="53"/>
    </w:p>
    <w:p>
      <w:pPr>
        <w:ind w:firstLine="640"/>
        <w:rPr>
          <w:rFonts w:eastAsia="楷体"/>
        </w:rPr>
      </w:pPr>
      <w:r>
        <w:rPr>
          <w:rFonts w:hint="eastAsia"/>
        </w:rPr>
        <w:t>依托良好的资源禀赋与农特产品产业发展基础，优化升级现代农业产业体系，引导农业向规模化、标准化、品牌化转变，加快发展特色种植业，提升规模化种植基地和标准化示范区建设水平。依托双兴木耳、山城镇香菇产业基础和优势，大力发展食用菌产业，延伸产业链，大力建设食用菌产业强县。加快发展红松果林基地，发展矮化红松林7万亩、红松果林标准化生产基地25万亩，完善产加销一体化发展全链条，争创省级特色产品优势区和果仁现代农业产业园。</w:t>
      </w:r>
      <w:r>
        <w:rPr>
          <w:rFonts w:hint="eastAsia" w:eastAsia="楷体"/>
        </w:rPr>
        <w:t>（</w:t>
      </w:r>
      <w:r>
        <w:rPr>
          <w:rFonts w:eastAsia="楷体"/>
        </w:rPr>
        <w:t>责任部门：</w:t>
      </w:r>
      <w:r>
        <w:rPr>
          <w:rFonts w:hint="eastAsia" w:eastAsia="楷体"/>
        </w:rPr>
        <w:t>农业农村局</w:t>
      </w:r>
      <w:r>
        <w:rPr>
          <w:rFonts w:eastAsia="楷体"/>
        </w:rPr>
        <w:t>牵头，其他相关部门配合</w:t>
      </w:r>
      <w:r>
        <w:rPr>
          <w:rFonts w:hint="eastAsia" w:eastAsia="楷体"/>
        </w:rPr>
        <w:t>）</w:t>
      </w:r>
    </w:p>
    <w:p>
      <w:pPr>
        <w:pStyle w:val="4"/>
        <w:keepNext w:val="0"/>
        <w:ind w:firstLine="643"/>
        <w:rPr>
          <w:sz w:val="32"/>
        </w:rPr>
      </w:pPr>
      <w:bookmarkStart w:id="54" w:name="_Toc114213737"/>
      <w:r>
        <w:rPr>
          <w:rFonts w:hint="eastAsia"/>
          <w:sz w:val="32"/>
        </w:rPr>
        <w:t>4</w:t>
      </w:r>
      <w:r>
        <w:rPr>
          <w:sz w:val="32"/>
        </w:rPr>
        <w:t>.</w:t>
      </w:r>
      <w:r>
        <w:rPr>
          <w:rFonts w:hint="eastAsia"/>
          <w:sz w:val="32"/>
        </w:rPr>
        <w:t>推进农村一二三产业融合发展</w:t>
      </w:r>
      <w:bookmarkEnd w:id="54"/>
    </w:p>
    <w:p>
      <w:pPr>
        <w:ind w:firstLine="640"/>
        <w:rPr>
          <w:rFonts w:eastAsia="楷体"/>
        </w:rPr>
      </w:pPr>
      <w:r>
        <w:rPr>
          <w:rFonts w:hint="eastAsia"/>
        </w:rPr>
        <w:t>实施农业全产业链培育计划，大力培育终端型农产品加工业、体验型乡村旅游业、智慧型农产品电子商务、循环型农业生产性服务业等。实施农业龙头企业培育工程，提高农产品精深加工水平；健全现代农业经营体系，大力发展农民合作社、家庭农场，培育新型农业经营和服务主体。实施农旅融合创建工程，探索创新“农业+生态+旅游”发展新模式，推进农业与旅游、教育、文化、康养等产业深度融合，推动乡村旅游规模化发展，打造一批乡村旅游园区，以山城镇、海龙镇、红梅镇、李炉乡、曙光镇、新合镇、小杨乡、吉乐乡等为乡村旅游基点，根据资源优势及文化特色，发展乡村民宿，打造一批有知名度、有影响力的休闲农业“打卡地”；立足稻米、香菇、木耳、果仁等优势产业，打造现代农业产业园、特色产品优势区、一二三农村产业融合发展示范园等，打造一批以生态种植、加工贸易、休闲旅游、文化展示、康养体验于一体的生态园区；实施龙头企业培育工程，以果仁、大米、畜产品等产业为重点，建设农产品加工基地，培育农业龙头企业集群。</w:t>
      </w:r>
      <w:r>
        <w:rPr>
          <w:rFonts w:hint="eastAsia" w:eastAsia="楷体"/>
        </w:rPr>
        <w:t>（</w:t>
      </w:r>
      <w:r>
        <w:rPr>
          <w:rFonts w:eastAsia="楷体"/>
        </w:rPr>
        <w:t>责任部门：</w:t>
      </w:r>
      <w:r>
        <w:rPr>
          <w:rFonts w:hint="eastAsia" w:eastAsia="楷体"/>
        </w:rPr>
        <w:t>农业农村局、发改局、工信局、文广旅局</w:t>
      </w:r>
      <w:r>
        <w:rPr>
          <w:rFonts w:eastAsia="楷体"/>
        </w:rPr>
        <w:t>牵头</w:t>
      </w:r>
      <w:r>
        <w:rPr>
          <w:rFonts w:hint="eastAsia" w:eastAsia="楷体"/>
        </w:rPr>
        <w:t>，</w:t>
      </w:r>
      <w:r>
        <w:rPr>
          <w:rFonts w:eastAsia="楷体"/>
        </w:rPr>
        <w:t>其他相关部门配合</w:t>
      </w:r>
      <w:r>
        <w:rPr>
          <w:rFonts w:hint="eastAsia" w:eastAsia="楷体"/>
        </w:rPr>
        <w:t>）</w:t>
      </w:r>
    </w:p>
    <w:p>
      <w:pPr>
        <w:pStyle w:val="4"/>
        <w:keepNext w:val="0"/>
        <w:ind w:firstLine="643"/>
        <w:rPr>
          <w:sz w:val="32"/>
        </w:rPr>
      </w:pPr>
      <w:bookmarkStart w:id="55" w:name="_Toc114213738"/>
      <w:r>
        <w:rPr>
          <w:sz w:val="32"/>
        </w:rPr>
        <w:t>5.</w:t>
      </w:r>
      <w:r>
        <w:rPr>
          <w:rFonts w:hint="eastAsia"/>
          <w:sz w:val="32"/>
        </w:rPr>
        <w:t>加强黑土地保护利用</w:t>
      </w:r>
      <w:bookmarkEnd w:id="55"/>
    </w:p>
    <w:p>
      <w:pPr>
        <w:ind w:firstLine="640"/>
        <w:rPr>
          <w:rFonts w:eastAsia="楷体"/>
        </w:rPr>
      </w:pPr>
      <w:r>
        <w:rPr>
          <w:rFonts w:hint="eastAsia"/>
        </w:rPr>
        <w:t>深入实施黑土地保护工程，保障粮食产能、恢复提升耕地质量、促进黑土耕地资源持续利用。分区分类探索保护利用模式，低山区固土保肥区以减少地表径流为主，低于25度的坡耕地大力推广秸秆还田、增施有机肥、免耕播种、测土配方施肥、环坡打垄等措施；堆积平原提质增肥区以防止土壤肥力退化为主，推广深翻深松、免耕或少耕、秸秆还田、化肥与有机肥配施、科学轮作、养分调控、测土施肥等综合配套技术，不断提高土壤肥力水平，有效提升耕地地力。突出抓好高标准农田建设、秸秆还田、耕地质量监测评价、绿色生产方式推行、农田防护林建设、黑土地保护利用长效机制构建等工作，坚持工程、农艺、生物措施相结合，逐步改善黑土耕地设施条件、内在质量、生态环境，切实保护好黑土地。</w:t>
      </w:r>
      <w:r>
        <w:rPr>
          <w:rFonts w:hint="eastAsia" w:eastAsia="楷体"/>
        </w:rPr>
        <w:t>（</w:t>
      </w:r>
      <w:r>
        <w:rPr>
          <w:rFonts w:eastAsia="楷体"/>
        </w:rPr>
        <w:t>责任部门：</w:t>
      </w:r>
      <w:r>
        <w:rPr>
          <w:rFonts w:hint="eastAsia" w:eastAsia="楷体"/>
        </w:rPr>
        <w:t>农业农村局、水利局、林业局、发改局、自然资源局、生态环境局牵头，</w:t>
      </w:r>
      <w:r>
        <w:rPr>
          <w:rFonts w:eastAsia="楷体"/>
        </w:rPr>
        <w:t>其他相关部门配合</w:t>
      </w:r>
      <w:r>
        <w:rPr>
          <w:rFonts w:hint="eastAsia" w:eastAsia="楷体"/>
        </w:rPr>
        <w:t>）</w:t>
      </w:r>
    </w:p>
    <w:p>
      <w:pPr>
        <w:pStyle w:val="4"/>
        <w:keepNext w:val="0"/>
        <w:ind w:firstLine="643"/>
        <w:rPr>
          <w:sz w:val="32"/>
        </w:rPr>
      </w:pPr>
      <w:bookmarkStart w:id="56" w:name="_Toc114213739"/>
      <w:r>
        <w:rPr>
          <w:rFonts w:hint="eastAsia"/>
          <w:sz w:val="32"/>
        </w:rPr>
        <w:t>6</w:t>
      </w:r>
      <w:r>
        <w:rPr>
          <w:sz w:val="32"/>
        </w:rPr>
        <w:t>.</w:t>
      </w:r>
      <w:r>
        <w:rPr>
          <w:rFonts w:hint="eastAsia"/>
          <w:sz w:val="32"/>
        </w:rPr>
        <w:t>完善农业基础设施</w:t>
      </w:r>
      <w:bookmarkEnd w:id="56"/>
    </w:p>
    <w:p>
      <w:pPr>
        <w:ind w:firstLine="640"/>
        <w:rPr>
          <w:rFonts w:eastAsia="楷体"/>
        </w:rPr>
      </w:pPr>
      <w:r>
        <w:rPr>
          <w:rFonts w:hint="eastAsia"/>
        </w:rPr>
        <w:t>实施高标准农田建设工程，优先在“两区”范围内开展高标准农田建设，配套完善农田灌排设施、机耕道路、输配电设施，培肥地力、改良土壤，增强耕地的稳产增产能力。推进建设现代经济作物产业标准化基地、粮食蔬菜绿色高产高效基地、畜禽标准化养殖场等。支持加快构建多元化投入机制，以奖代补支持高标准农田建设。统筹农田水利设施建设，加快建设现代农田灌排体系，兴建微水池、提灌站、连通微水池的配套渠系等工程。大力发展节水农业，加快现有灌区续建配套节水改造和现代化建设，加强粮食主产区和生态脆弱地区的节水灌溉工程建设，推广节水灌溉技术。因地制宜兴建、提升中小型农田水利设施，打通农田水利“最后一公里”。</w:t>
      </w:r>
      <w:r>
        <w:rPr>
          <w:rFonts w:hint="eastAsia" w:eastAsia="楷体"/>
        </w:rPr>
        <w:t>（</w:t>
      </w:r>
      <w:r>
        <w:rPr>
          <w:rFonts w:eastAsia="楷体"/>
        </w:rPr>
        <w:t>责任部门：</w:t>
      </w:r>
      <w:r>
        <w:rPr>
          <w:rFonts w:hint="eastAsia" w:eastAsia="楷体"/>
        </w:rPr>
        <w:t>农业农村局和水利局</w:t>
      </w:r>
      <w:r>
        <w:rPr>
          <w:rFonts w:eastAsia="楷体"/>
        </w:rPr>
        <w:t>按职责分工牵头负责，其他相关部门配合</w:t>
      </w:r>
      <w:r>
        <w:rPr>
          <w:rFonts w:hint="eastAsia" w:eastAsia="楷体"/>
        </w:rPr>
        <w:t>）</w:t>
      </w:r>
    </w:p>
    <w:p>
      <w:pPr>
        <w:pStyle w:val="2"/>
        <w:spacing w:beforeLines="0" w:afterLines="0"/>
        <w:ind w:firstLine="723"/>
      </w:pPr>
      <w:bookmarkStart w:id="57" w:name="_Toc114213740"/>
      <w:r>
        <w:t>三、组织实施</w:t>
      </w:r>
      <w:bookmarkEnd w:id="57"/>
    </w:p>
    <w:p>
      <w:pPr>
        <w:pStyle w:val="3"/>
        <w:ind w:firstLine="643"/>
      </w:pPr>
      <w:bookmarkStart w:id="58" w:name="_Toc114213741"/>
      <w:r>
        <w:t>（一）加强组织领导</w:t>
      </w:r>
      <w:bookmarkEnd w:id="58"/>
      <w:r>
        <w:rPr>
          <w:rFonts w:hint="eastAsia"/>
        </w:rPr>
        <w:t>。</w:t>
      </w:r>
    </w:p>
    <w:p>
      <w:pPr>
        <w:ind w:firstLine="640"/>
      </w:pPr>
      <w:r>
        <w:t>建立梅河口市落实</w:t>
      </w:r>
      <w:r>
        <w:rPr>
          <w:rFonts w:hint="eastAsia"/>
        </w:rPr>
        <w:t>“一主六双”高质量发展战略</w:t>
      </w:r>
      <w:r>
        <w:t>推进工作领导小组，由梅河口市委市政府主要领导担任组长，市相关部门为成员单位，负责</w:t>
      </w:r>
      <w:r>
        <w:rPr>
          <w:rFonts w:hint="eastAsia"/>
        </w:rPr>
        <w:t>“一主、六双”高质量发展战略</w:t>
      </w:r>
      <w:r>
        <w:t>的统筹谋划、协调推进、督促落实，协议解决工作推进中的重大问题和重大事项。领导小组办公室设在市发改局，综合调度各方面工作开展情况，推动落实本方案的各项任务。</w:t>
      </w:r>
    </w:p>
    <w:p>
      <w:pPr>
        <w:pStyle w:val="3"/>
        <w:ind w:firstLine="643"/>
      </w:pPr>
      <w:bookmarkStart w:id="59" w:name="_Toc114213742"/>
      <w:r>
        <w:t>（二）强化责任分工</w:t>
      </w:r>
      <w:bookmarkEnd w:id="59"/>
      <w:r>
        <w:rPr>
          <w:rFonts w:hint="eastAsia"/>
        </w:rPr>
        <w:t>。</w:t>
      </w:r>
    </w:p>
    <w:p>
      <w:pPr>
        <w:ind w:firstLine="640"/>
        <w:rPr>
          <w:rFonts w:ascii="仿宋" w:hAnsi="仿宋" w:cs="仿宋"/>
        </w:rPr>
      </w:pPr>
      <w:r>
        <w:t>围绕《</w:t>
      </w:r>
      <w:r>
        <w:rPr>
          <w:rFonts w:hint="eastAsia"/>
        </w:rPr>
        <w:t>战略</w:t>
      </w:r>
      <w:r>
        <w:t>》和本方案的实施，强化责任主体，确定牵头部门和责任，做到分工明确、责任到人，各相关部门按照责任分工，在体制机制创新、政策落实、项目建设等方面支持配合</w:t>
      </w:r>
      <w:r>
        <w:rPr>
          <w:rFonts w:hint="eastAsia"/>
        </w:rPr>
        <w:t>“一主六双”高质量发展战略</w:t>
      </w:r>
      <w:r>
        <w:t>部署，全力推进本方案各项目标和任务落实。</w:t>
      </w:r>
    </w:p>
    <w:p>
      <w:pPr>
        <w:pStyle w:val="3"/>
        <w:ind w:firstLine="643"/>
      </w:pPr>
      <w:bookmarkStart w:id="60" w:name="_Toc114213743"/>
      <w:r>
        <w:t>（三）加大政策支持</w:t>
      </w:r>
      <w:bookmarkEnd w:id="60"/>
      <w:r>
        <w:rPr>
          <w:rFonts w:hint="eastAsia"/>
        </w:rPr>
        <w:t>。</w:t>
      </w:r>
    </w:p>
    <w:p>
      <w:pPr>
        <w:ind w:firstLine="640"/>
      </w:pPr>
      <w:r>
        <w:t>全面落实省委省政府《</w:t>
      </w:r>
      <w:r>
        <w:rPr>
          <w:rFonts w:hint="eastAsia"/>
        </w:rPr>
        <w:t>“一主六双”高质量发展战略</w:t>
      </w:r>
      <w:r>
        <w:t>规划配套政策》，积极落实关于支持</w:t>
      </w:r>
      <w:r>
        <w:rPr>
          <w:rFonts w:hint="eastAsia"/>
        </w:rPr>
        <w:t>长春现代化都市圈</w:t>
      </w:r>
      <w:r>
        <w:t>高质量发展的若干政策、关于推进环长春四辽吉松工业走廊发展规划实施的若干政策、关于推进</w:t>
      </w:r>
      <w:r>
        <w:rPr>
          <w:rFonts w:hint="eastAsia"/>
        </w:rPr>
        <w:t>长辽梅通白延医药健康产业走廊</w:t>
      </w:r>
      <w:r>
        <w:t>发展规划实施的若干政策、关于推进</w:t>
      </w:r>
      <w:r>
        <w:rPr>
          <w:rFonts w:hint="eastAsia"/>
        </w:rPr>
        <w:t>“</w:t>
      </w:r>
      <w:r>
        <w:t>双线</w:t>
      </w:r>
      <w:r>
        <w:rPr>
          <w:rFonts w:hint="eastAsia"/>
        </w:rPr>
        <w:t>”</w:t>
      </w:r>
      <w:r>
        <w:t>规划实施的若干政策和关于推进</w:t>
      </w:r>
      <w:r>
        <w:rPr>
          <w:rFonts w:hint="eastAsia"/>
        </w:rPr>
        <w:t>“</w:t>
      </w:r>
      <w:r>
        <w:t>双通道</w:t>
      </w:r>
      <w:r>
        <w:rPr>
          <w:rFonts w:hint="eastAsia"/>
        </w:rPr>
        <w:t>”</w:t>
      </w:r>
      <w:r>
        <w:t>规划实施的若干政策，争取相关部门的资金支持。围绕基础设施、产业发展、生态保护、公共服务、社会管理等进一步制定和完善政策举措，推动项目实施，在用地、财税、金融、市场、科技、创新等方面给予一定政策倾斜。充分发挥产业发展专项资金的引导和扶持作用，积极争取各级财政资金对重点项目给予支持。创新政策机制，在医药健康、食品加工、商贸物流、旅游、交通等重点领域先试先行，有效推动本方案实施。</w:t>
      </w:r>
    </w:p>
    <w:p>
      <w:pPr>
        <w:pStyle w:val="3"/>
        <w:ind w:firstLine="643"/>
      </w:pPr>
      <w:bookmarkStart w:id="61" w:name="_Toc114213744"/>
      <w:r>
        <w:t>（四）加强监督考核</w:t>
      </w:r>
      <w:bookmarkEnd w:id="61"/>
      <w:r>
        <w:rPr>
          <w:rFonts w:hint="eastAsia"/>
        </w:rPr>
        <w:t>。</w:t>
      </w:r>
    </w:p>
    <w:p>
      <w:pPr>
        <w:ind w:firstLine="640"/>
      </w:pPr>
      <w:r>
        <w:t>加强本方案实施的监督和绩效考核，建立健全监督、考核和评价制度，将方案落实及发展成效纳入政府及相关部门的考核指标体系，加强对方案实施情况的跟踪分析和督促检查，定期组织开展实施情况汇报评估，及时总结经验、发现问题。注意加强社会监督和舆论监督，及时公开方案实施情况，主动接受监督。</w:t>
      </w:r>
    </w:p>
    <w:sectPr>
      <w:pgSz w:w="11906" w:h="16838"/>
      <w:pgMar w:top="1440" w:right="1797" w:bottom="1440" w:left="1797" w:header="851" w:footer="992" w:gutter="0"/>
      <w:cols w:space="72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DY338 + ZBfHKv-347">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18"/>
      </w:rPr>
    </w:pPr>
    <w:r>
      <w:fldChar w:fldCharType="begin"/>
    </w:r>
    <w:r>
      <w:rPr>
        <w:rStyle w:val="18"/>
      </w:rPr>
      <w:instrText xml:space="preserve">PAGE  </w:instrText>
    </w:r>
    <w:r>
      <w:fldChar w:fldCharType="end"/>
    </w:r>
  </w:p>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jc w:val="center"/>
    </w:pPr>
    <w:r>
      <w:rPr>
        <w:lang w:val="zh-CN"/>
      </w:rPr>
      <w:fldChar w:fldCharType="begin"/>
    </w:r>
    <w:r>
      <w:rPr>
        <w:lang w:val="zh-CN"/>
      </w:rPr>
      <w:instrText xml:space="preserve">PAGE   \* MERGEFORMAT</w:instrText>
    </w:r>
    <w:r>
      <w:rPr>
        <w:lang w:val="zh-CN"/>
      </w:rPr>
      <w:fldChar w:fldCharType="separate"/>
    </w:r>
    <w:r>
      <w:rPr>
        <w:lang w:val="zh-CN"/>
      </w:rPr>
      <w:t>28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mM3YTgyNTgwMDQxZjNhYmEwNDNjYmU0ODcxNmM1Y2UifQ=="/>
  </w:docVars>
  <w:rsids>
    <w:rsidRoot w:val="286555B3"/>
    <w:rsid w:val="0000440F"/>
    <w:rsid w:val="000059A3"/>
    <w:rsid w:val="00017BAC"/>
    <w:rsid w:val="00020855"/>
    <w:rsid w:val="00032D8D"/>
    <w:rsid w:val="000353D6"/>
    <w:rsid w:val="000422AE"/>
    <w:rsid w:val="0005093C"/>
    <w:rsid w:val="00051D29"/>
    <w:rsid w:val="00052BEE"/>
    <w:rsid w:val="00053170"/>
    <w:rsid w:val="00054E63"/>
    <w:rsid w:val="000570B3"/>
    <w:rsid w:val="000622E3"/>
    <w:rsid w:val="00062460"/>
    <w:rsid w:val="00062BBB"/>
    <w:rsid w:val="00065A13"/>
    <w:rsid w:val="000660B9"/>
    <w:rsid w:val="000671A2"/>
    <w:rsid w:val="000714CB"/>
    <w:rsid w:val="00071B13"/>
    <w:rsid w:val="00074D30"/>
    <w:rsid w:val="00075261"/>
    <w:rsid w:val="000853CA"/>
    <w:rsid w:val="000856EE"/>
    <w:rsid w:val="00085A40"/>
    <w:rsid w:val="000862E5"/>
    <w:rsid w:val="0009087B"/>
    <w:rsid w:val="00090FFF"/>
    <w:rsid w:val="00092229"/>
    <w:rsid w:val="00095657"/>
    <w:rsid w:val="00095F40"/>
    <w:rsid w:val="000A5D06"/>
    <w:rsid w:val="000A6A3F"/>
    <w:rsid w:val="000A6EDD"/>
    <w:rsid w:val="000B4194"/>
    <w:rsid w:val="000B77C9"/>
    <w:rsid w:val="000C2763"/>
    <w:rsid w:val="000C3D30"/>
    <w:rsid w:val="000C5723"/>
    <w:rsid w:val="000E2DDF"/>
    <w:rsid w:val="000E474A"/>
    <w:rsid w:val="000E60E0"/>
    <w:rsid w:val="000F1F04"/>
    <w:rsid w:val="000F2AD5"/>
    <w:rsid w:val="000F358B"/>
    <w:rsid w:val="000F4A22"/>
    <w:rsid w:val="000F7F42"/>
    <w:rsid w:val="0010097A"/>
    <w:rsid w:val="00111436"/>
    <w:rsid w:val="0011263D"/>
    <w:rsid w:val="00121810"/>
    <w:rsid w:val="001258A2"/>
    <w:rsid w:val="0013137B"/>
    <w:rsid w:val="00134C1A"/>
    <w:rsid w:val="00134CCC"/>
    <w:rsid w:val="00134DFE"/>
    <w:rsid w:val="00136226"/>
    <w:rsid w:val="0014069D"/>
    <w:rsid w:val="0014311C"/>
    <w:rsid w:val="00144048"/>
    <w:rsid w:val="00144533"/>
    <w:rsid w:val="00144DF8"/>
    <w:rsid w:val="00150753"/>
    <w:rsid w:val="0015107E"/>
    <w:rsid w:val="0015317F"/>
    <w:rsid w:val="001536D5"/>
    <w:rsid w:val="001553B4"/>
    <w:rsid w:val="00155749"/>
    <w:rsid w:val="00162A70"/>
    <w:rsid w:val="00162D17"/>
    <w:rsid w:val="001647D3"/>
    <w:rsid w:val="00172550"/>
    <w:rsid w:val="00173560"/>
    <w:rsid w:val="00175BD3"/>
    <w:rsid w:val="001777E8"/>
    <w:rsid w:val="001777EC"/>
    <w:rsid w:val="0018478B"/>
    <w:rsid w:val="00186AE5"/>
    <w:rsid w:val="001919ED"/>
    <w:rsid w:val="00193148"/>
    <w:rsid w:val="00193C44"/>
    <w:rsid w:val="001942C5"/>
    <w:rsid w:val="001A0189"/>
    <w:rsid w:val="001A3281"/>
    <w:rsid w:val="001A3620"/>
    <w:rsid w:val="001A401D"/>
    <w:rsid w:val="001A42D4"/>
    <w:rsid w:val="001A462A"/>
    <w:rsid w:val="001A59DD"/>
    <w:rsid w:val="001B019D"/>
    <w:rsid w:val="001B09CC"/>
    <w:rsid w:val="001B275E"/>
    <w:rsid w:val="001B367F"/>
    <w:rsid w:val="001C03A3"/>
    <w:rsid w:val="001C09AF"/>
    <w:rsid w:val="001C2FA4"/>
    <w:rsid w:val="001C4A0F"/>
    <w:rsid w:val="001C621F"/>
    <w:rsid w:val="001C6B33"/>
    <w:rsid w:val="001D0394"/>
    <w:rsid w:val="001D10C7"/>
    <w:rsid w:val="001D5725"/>
    <w:rsid w:val="001D7650"/>
    <w:rsid w:val="001E0C0C"/>
    <w:rsid w:val="001E20FE"/>
    <w:rsid w:val="001E484A"/>
    <w:rsid w:val="001E5CFD"/>
    <w:rsid w:val="001F3DB6"/>
    <w:rsid w:val="001F674F"/>
    <w:rsid w:val="002002F6"/>
    <w:rsid w:val="00202193"/>
    <w:rsid w:val="002045A6"/>
    <w:rsid w:val="002109EC"/>
    <w:rsid w:val="00213219"/>
    <w:rsid w:val="00213455"/>
    <w:rsid w:val="00216230"/>
    <w:rsid w:val="00223111"/>
    <w:rsid w:val="002233D0"/>
    <w:rsid w:val="00224FBA"/>
    <w:rsid w:val="00226BE2"/>
    <w:rsid w:val="00241664"/>
    <w:rsid w:val="0024233E"/>
    <w:rsid w:val="00243AB9"/>
    <w:rsid w:val="002466D1"/>
    <w:rsid w:val="00254BCA"/>
    <w:rsid w:val="00255E22"/>
    <w:rsid w:val="00261242"/>
    <w:rsid w:val="00261CA1"/>
    <w:rsid w:val="002674CA"/>
    <w:rsid w:val="002716C5"/>
    <w:rsid w:val="00271780"/>
    <w:rsid w:val="002735B8"/>
    <w:rsid w:val="00275B35"/>
    <w:rsid w:val="00277C5F"/>
    <w:rsid w:val="00284A84"/>
    <w:rsid w:val="00287311"/>
    <w:rsid w:val="002912E9"/>
    <w:rsid w:val="0029141F"/>
    <w:rsid w:val="00291889"/>
    <w:rsid w:val="0029458A"/>
    <w:rsid w:val="0029669D"/>
    <w:rsid w:val="002966D0"/>
    <w:rsid w:val="002A1F46"/>
    <w:rsid w:val="002A4960"/>
    <w:rsid w:val="002A7CA7"/>
    <w:rsid w:val="002B1C11"/>
    <w:rsid w:val="002B4990"/>
    <w:rsid w:val="002B6075"/>
    <w:rsid w:val="002B6EFD"/>
    <w:rsid w:val="002B7044"/>
    <w:rsid w:val="002C08C0"/>
    <w:rsid w:val="002C1E60"/>
    <w:rsid w:val="002D0B33"/>
    <w:rsid w:val="002D1372"/>
    <w:rsid w:val="002D153B"/>
    <w:rsid w:val="002D2644"/>
    <w:rsid w:val="002D2C10"/>
    <w:rsid w:val="002D3A42"/>
    <w:rsid w:val="002D711E"/>
    <w:rsid w:val="002D7D66"/>
    <w:rsid w:val="002E3410"/>
    <w:rsid w:val="002E3D75"/>
    <w:rsid w:val="002F1EA5"/>
    <w:rsid w:val="002F2960"/>
    <w:rsid w:val="002F6729"/>
    <w:rsid w:val="00302A8A"/>
    <w:rsid w:val="00304A64"/>
    <w:rsid w:val="00304DA9"/>
    <w:rsid w:val="00305312"/>
    <w:rsid w:val="00310D48"/>
    <w:rsid w:val="00310D9A"/>
    <w:rsid w:val="0031121F"/>
    <w:rsid w:val="00312122"/>
    <w:rsid w:val="00312BF8"/>
    <w:rsid w:val="00313CA4"/>
    <w:rsid w:val="00316153"/>
    <w:rsid w:val="00316DF0"/>
    <w:rsid w:val="00317397"/>
    <w:rsid w:val="003234A3"/>
    <w:rsid w:val="00324552"/>
    <w:rsid w:val="00326CA7"/>
    <w:rsid w:val="003352B7"/>
    <w:rsid w:val="0033638D"/>
    <w:rsid w:val="00337829"/>
    <w:rsid w:val="00337E10"/>
    <w:rsid w:val="00344917"/>
    <w:rsid w:val="00357B1E"/>
    <w:rsid w:val="0036071C"/>
    <w:rsid w:val="00361C1E"/>
    <w:rsid w:val="00362538"/>
    <w:rsid w:val="00364E0B"/>
    <w:rsid w:val="003650DF"/>
    <w:rsid w:val="00365783"/>
    <w:rsid w:val="00365892"/>
    <w:rsid w:val="00365B3C"/>
    <w:rsid w:val="0037645E"/>
    <w:rsid w:val="00385667"/>
    <w:rsid w:val="00386FC8"/>
    <w:rsid w:val="0039223E"/>
    <w:rsid w:val="0039446B"/>
    <w:rsid w:val="0039692B"/>
    <w:rsid w:val="00396C7D"/>
    <w:rsid w:val="003A6F89"/>
    <w:rsid w:val="003B2902"/>
    <w:rsid w:val="003B3B86"/>
    <w:rsid w:val="003B50A8"/>
    <w:rsid w:val="003B5E7C"/>
    <w:rsid w:val="003B7645"/>
    <w:rsid w:val="003C26CB"/>
    <w:rsid w:val="003C38FC"/>
    <w:rsid w:val="003C5C43"/>
    <w:rsid w:val="003D0689"/>
    <w:rsid w:val="003D08B1"/>
    <w:rsid w:val="003E0963"/>
    <w:rsid w:val="003E0C8E"/>
    <w:rsid w:val="003E18DE"/>
    <w:rsid w:val="003E2639"/>
    <w:rsid w:val="00402A28"/>
    <w:rsid w:val="00407234"/>
    <w:rsid w:val="00411B35"/>
    <w:rsid w:val="004134D7"/>
    <w:rsid w:val="00417FFB"/>
    <w:rsid w:val="00420B06"/>
    <w:rsid w:val="00422C3C"/>
    <w:rsid w:val="0042440D"/>
    <w:rsid w:val="00424A92"/>
    <w:rsid w:val="0042601C"/>
    <w:rsid w:val="004264E4"/>
    <w:rsid w:val="00427C9A"/>
    <w:rsid w:val="0043575E"/>
    <w:rsid w:val="0043776C"/>
    <w:rsid w:val="00437D3F"/>
    <w:rsid w:val="0044353F"/>
    <w:rsid w:val="00443D08"/>
    <w:rsid w:val="00444A41"/>
    <w:rsid w:val="00447591"/>
    <w:rsid w:val="00454EBB"/>
    <w:rsid w:val="00461273"/>
    <w:rsid w:val="004637F4"/>
    <w:rsid w:val="00464A16"/>
    <w:rsid w:val="0047465D"/>
    <w:rsid w:val="0047720E"/>
    <w:rsid w:val="00480383"/>
    <w:rsid w:val="00482371"/>
    <w:rsid w:val="0048344E"/>
    <w:rsid w:val="00484379"/>
    <w:rsid w:val="0048445B"/>
    <w:rsid w:val="00485596"/>
    <w:rsid w:val="00485CD0"/>
    <w:rsid w:val="00487277"/>
    <w:rsid w:val="0049173B"/>
    <w:rsid w:val="00494A7C"/>
    <w:rsid w:val="00496711"/>
    <w:rsid w:val="004A0320"/>
    <w:rsid w:val="004A6A02"/>
    <w:rsid w:val="004B0395"/>
    <w:rsid w:val="004B1244"/>
    <w:rsid w:val="004B4E38"/>
    <w:rsid w:val="004B5326"/>
    <w:rsid w:val="004C085F"/>
    <w:rsid w:val="004C0B3E"/>
    <w:rsid w:val="004C1CEB"/>
    <w:rsid w:val="004C4E66"/>
    <w:rsid w:val="004C733E"/>
    <w:rsid w:val="004D10E8"/>
    <w:rsid w:val="004D3E80"/>
    <w:rsid w:val="004D7740"/>
    <w:rsid w:val="004D7CC7"/>
    <w:rsid w:val="004E3A58"/>
    <w:rsid w:val="004E610C"/>
    <w:rsid w:val="004E733C"/>
    <w:rsid w:val="004E7839"/>
    <w:rsid w:val="004F20CC"/>
    <w:rsid w:val="004F2EC2"/>
    <w:rsid w:val="004F445F"/>
    <w:rsid w:val="004F64AB"/>
    <w:rsid w:val="0050065A"/>
    <w:rsid w:val="00501F8B"/>
    <w:rsid w:val="005059D3"/>
    <w:rsid w:val="00506824"/>
    <w:rsid w:val="00507718"/>
    <w:rsid w:val="005100FB"/>
    <w:rsid w:val="00512816"/>
    <w:rsid w:val="0051293C"/>
    <w:rsid w:val="00512FA5"/>
    <w:rsid w:val="005246D1"/>
    <w:rsid w:val="0053147E"/>
    <w:rsid w:val="00532DCA"/>
    <w:rsid w:val="005346C9"/>
    <w:rsid w:val="00535193"/>
    <w:rsid w:val="005362CB"/>
    <w:rsid w:val="00536F49"/>
    <w:rsid w:val="00542A3B"/>
    <w:rsid w:val="00543DAE"/>
    <w:rsid w:val="00543FC3"/>
    <w:rsid w:val="00546C57"/>
    <w:rsid w:val="005472D5"/>
    <w:rsid w:val="00553276"/>
    <w:rsid w:val="00555576"/>
    <w:rsid w:val="00561199"/>
    <w:rsid w:val="0056151E"/>
    <w:rsid w:val="00562619"/>
    <w:rsid w:val="005664FE"/>
    <w:rsid w:val="00567B24"/>
    <w:rsid w:val="00572E9F"/>
    <w:rsid w:val="005739F9"/>
    <w:rsid w:val="0057419D"/>
    <w:rsid w:val="0057525D"/>
    <w:rsid w:val="00577917"/>
    <w:rsid w:val="005829DC"/>
    <w:rsid w:val="005948CD"/>
    <w:rsid w:val="005A35D4"/>
    <w:rsid w:val="005A36AA"/>
    <w:rsid w:val="005A39FD"/>
    <w:rsid w:val="005A3C34"/>
    <w:rsid w:val="005A4EBE"/>
    <w:rsid w:val="005A51F8"/>
    <w:rsid w:val="005B0712"/>
    <w:rsid w:val="005C0824"/>
    <w:rsid w:val="005C094B"/>
    <w:rsid w:val="005C11CA"/>
    <w:rsid w:val="005C2263"/>
    <w:rsid w:val="005C560D"/>
    <w:rsid w:val="005C60EB"/>
    <w:rsid w:val="005D3D1B"/>
    <w:rsid w:val="005E155C"/>
    <w:rsid w:val="005E53E9"/>
    <w:rsid w:val="005E5692"/>
    <w:rsid w:val="005F3F65"/>
    <w:rsid w:val="005F5ECA"/>
    <w:rsid w:val="005F6415"/>
    <w:rsid w:val="0060709C"/>
    <w:rsid w:val="006122D3"/>
    <w:rsid w:val="0061303E"/>
    <w:rsid w:val="00614024"/>
    <w:rsid w:val="006147E2"/>
    <w:rsid w:val="00614A2D"/>
    <w:rsid w:val="00614A8D"/>
    <w:rsid w:val="0062707C"/>
    <w:rsid w:val="00627C82"/>
    <w:rsid w:val="006304AC"/>
    <w:rsid w:val="00632D56"/>
    <w:rsid w:val="00633F33"/>
    <w:rsid w:val="00635526"/>
    <w:rsid w:val="00635563"/>
    <w:rsid w:val="00641534"/>
    <w:rsid w:val="0064161F"/>
    <w:rsid w:val="006453AC"/>
    <w:rsid w:val="00645965"/>
    <w:rsid w:val="00651DD1"/>
    <w:rsid w:val="0065242F"/>
    <w:rsid w:val="006542BE"/>
    <w:rsid w:val="006619F9"/>
    <w:rsid w:val="00662576"/>
    <w:rsid w:val="00663E34"/>
    <w:rsid w:val="0066401B"/>
    <w:rsid w:val="006666F8"/>
    <w:rsid w:val="00674484"/>
    <w:rsid w:val="00676CBD"/>
    <w:rsid w:val="00681207"/>
    <w:rsid w:val="006825C5"/>
    <w:rsid w:val="0068260C"/>
    <w:rsid w:val="0068434E"/>
    <w:rsid w:val="00687202"/>
    <w:rsid w:val="00687FAC"/>
    <w:rsid w:val="006902C2"/>
    <w:rsid w:val="006B5689"/>
    <w:rsid w:val="006D465B"/>
    <w:rsid w:val="006E1F97"/>
    <w:rsid w:val="006E3B76"/>
    <w:rsid w:val="006E5F36"/>
    <w:rsid w:val="006E774E"/>
    <w:rsid w:val="006F0AA2"/>
    <w:rsid w:val="006F7B4A"/>
    <w:rsid w:val="007025B7"/>
    <w:rsid w:val="00705572"/>
    <w:rsid w:val="00711EFC"/>
    <w:rsid w:val="00712D1B"/>
    <w:rsid w:val="007130D4"/>
    <w:rsid w:val="0071379D"/>
    <w:rsid w:val="00715ACA"/>
    <w:rsid w:val="00715C81"/>
    <w:rsid w:val="00720C32"/>
    <w:rsid w:val="007309C7"/>
    <w:rsid w:val="007313BC"/>
    <w:rsid w:val="00731922"/>
    <w:rsid w:val="00732AEB"/>
    <w:rsid w:val="007337C5"/>
    <w:rsid w:val="00736B7C"/>
    <w:rsid w:val="00736E77"/>
    <w:rsid w:val="00742F80"/>
    <w:rsid w:val="0074302B"/>
    <w:rsid w:val="00743B70"/>
    <w:rsid w:val="00743EED"/>
    <w:rsid w:val="0074409D"/>
    <w:rsid w:val="00744DF1"/>
    <w:rsid w:val="00753AF6"/>
    <w:rsid w:val="0075563F"/>
    <w:rsid w:val="00756606"/>
    <w:rsid w:val="00764ABF"/>
    <w:rsid w:val="00764C01"/>
    <w:rsid w:val="00766D5D"/>
    <w:rsid w:val="00772E27"/>
    <w:rsid w:val="007732A2"/>
    <w:rsid w:val="00773A31"/>
    <w:rsid w:val="00774C8D"/>
    <w:rsid w:val="00783045"/>
    <w:rsid w:val="007860D3"/>
    <w:rsid w:val="007941C1"/>
    <w:rsid w:val="007947B2"/>
    <w:rsid w:val="0079741A"/>
    <w:rsid w:val="007B273D"/>
    <w:rsid w:val="007B432E"/>
    <w:rsid w:val="007B6496"/>
    <w:rsid w:val="007C0A78"/>
    <w:rsid w:val="007C2B88"/>
    <w:rsid w:val="007C49CD"/>
    <w:rsid w:val="007D544D"/>
    <w:rsid w:val="007E06B5"/>
    <w:rsid w:val="007E10B2"/>
    <w:rsid w:val="007E4AA0"/>
    <w:rsid w:val="007E64E6"/>
    <w:rsid w:val="007F43FD"/>
    <w:rsid w:val="007F5E4F"/>
    <w:rsid w:val="007F7835"/>
    <w:rsid w:val="00800453"/>
    <w:rsid w:val="00801920"/>
    <w:rsid w:val="00806F93"/>
    <w:rsid w:val="008101D6"/>
    <w:rsid w:val="008137D4"/>
    <w:rsid w:val="008173F0"/>
    <w:rsid w:val="00817A55"/>
    <w:rsid w:val="00823588"/>
    <w:rsid w:val="00823671"/>
    <w:rsid w:val="00823BB4"/>
    <w:rsid w:val="00825676"/>
    <w:rsid w:val="00827412"/>
    <w:rsid w:val="008305EA"/>
    <w:rsid w:val="00830F80"/>
    <w:rsid w:val="00835A3F"/>
    <w:rsid w:val="00836D76"/>
    <w:rsid w:val="00840BFA"/>
    <w:rsid w:val="008420FC"/>
    <w:rsid w:val="00844CD5"/>
    <w:rsid w:val="00851E10"/>
    <w:rsid w:val="008528B5"/>
    <w:rsid w:val="00852ADF"/>
    <w:rsid w:val="00857033"/>
    <w:rsid w:val="00861E07"/>
    <w:rsid w:val="00862C8C"/>
    <w:rsid w:val="0086791F"/>
    <w:rsid w:val="00867BE7"/>
    <w:rsid w:val="00867E3C"/>
    <w:rsid w:val="0087369E"/>
    <w:rsid w:val="00873A05"/>
    <w:rsid w:val="0087427D"/>
    <w:rsid w:val="00875E4B"/>
    <w:rsid w:val="008763EA"/>
    <w:rsid w:val="0088322D"/>
    <w:rsid w:val="00885848"/>
    <w:rsid w:val="008869E4"/>
    <w:rsid w:val="008878D3"/>
    <w:rsid w:val="00891F8C"/>
    <w:rsid w:val="00894D6B"/>
    <w:rsid w:val="00896301"/>
    <w:rsid w:val="0089726E"/>
    <w:rsid w:val="008A4ED2"/>
    <w:rsid w:val="008A61FC"/>
    <w:rsid w:val="008A6D6B"/>
    <w:rsid w:val="008B24A9"/>
    <w:rsid w:val="008B4023"/>
    <w:rsid w:val="008B417D"/>
    <w:rsid w:val="008C401F"/>
    <w:rsid w:val="008C597E"/>
    <w:rsid w:val="008C60F8"/>
    <w:rsid w:val="008D1510"/>
    <w:rsid w:val="008D2328"/>
    <w:rsid w:val="008D2ABF"/>
    <w:rsid w:val="008D3E4E"/>
    <w:rsid w:val="008D5739"/>
    <w:rsid w:val="008D72B0"/>
    <w:rsid w:val="008E0650"/>
    <w:rsid w:val="008E1CFC"/>
    <w:rsid w:val="0090179D"/>
    <w:rsid w:val="00906FB8"/>
    <w:rsid w:val="00914018"/>
    <w:rsid w:val="009144C1"/>
    <w:rsid w:val="0092243C"/>
    <w:rsid w:val="009235EF"/>
    <w:rsid w:val="00924DC6"/>
    <w:rsid w:val="009255D8"/>
    <w:rsid w:val="00926F12"/>
    <w:rsid w:val="00930DB6"/>
    <w:rsid w:val="00932AAC"/>
    <w:rsid w:val="00933899"/>
    <w:rsid w:val="00934739"/>
    <w:rsid w:val="00936182"/>
    <w:rsid w:val="00937FD3"/>
    <w:rsid w:val="0094039F"/>
    <w:rsid w:val="009414DA"/>
    <w:rsid w:val="00943581"/>
    <w:rsid w:val="009503CE"/>
    <w:rsid w:val="00952B79"/>
    <w:rsid w:val="00956E08"/>
    <w:rsid w:val="0096025B"/>
    <w:rsid w:val="00960B35"/>
    <w:rsid w:val="00963B01"/>
    <w:rsid w:val="00963FEC"/>
    <w:rsid w:val="00964FD8"/>
    <w:rsid w:val="00973EBA"/>
    <w:rsid w:val="00975142"/>
    <w:rsid w:val="00976427"/>
    <w:rsid w:val="00984F31"/>
    <w:rsid w:val="0098700C"/>
    <w:rsid w:val="009925E0"/>
    <w:rsid w:val="00997983"/>
    <w:rsid w:val="009A79D8"/>
    <w:rsid w:val="009B2242"/>
    <w:rsid w:val="009B3645"/>
    <w:rsid w:val="009B44CA"/>
    <w:rsid w:val="009B4B84"/>
    <w:rsid w:val="009B5FD1"/>
    <w:rsid w:val="009D15A8"/>
    <w:rsid w:val="009D4B88"/>
    <w:rsid w:val="009D6196"/>
    <w:rsid w:val="009E1B72"/>
    <w:rsid w:val="009E5DCD"/>
    <w:rsid w:val="009F16DD"/>
    <w:rsid w:val="009F63AF"/>
    <w:rsid w:val="00A0292A"/>
    <w:rsid w:val="00A04A32"/>
    <w:rsid w:val="00A1102D"/>
    <w:rsid w:val="00A11ABE"/>
    <w:rsid w:val="00A13781"/>
    <w:rsid w:val="00A2467B"/>
    <w:rsid w:val="00A336E7"/>
    <w:rsid w:val="00A367B5"/>
    <w:rsid w:val="00A3748C"/>
    <w:rsid w:val="00A4688A"/>
    <w:rsid w:val="00A47665"/>
    <w:rsid w:val="00A541F4"/>
    <w:rsid w:val="00A61C96"/>
    <w:rsid w:val="00A62AD1"/>
    <w:rsid w:val="00A64406"/>
    <w:rsid w:val="00A6535A"/>
    <w:rsid w:val="00A6650B"/>
    <w:rsid w:val="00A75833"/>
    <w:rsid w:val="00A75DA6"/>
    <w:rsid w:val="00A83102"/>
    <w:rsid w:val="00A83741"/>
    <w:rsid w:val="00A87523"/>
    <w:rsid w:val="00A91520"/>
    <w:rsid w:val="00A926D6"/>
    <w:rsid w:val="00A94851"/>
    <w:rsid w:val="00AC07AD"/>
    <w:rsid w:val="00AC50CC"/>
    <w:rsid w:val="00AC797F"/>
    <w:rsid w:val="00AD32AA"/>
    <w:rsid w:val="00AD46B3"/>
    <w:rsid w:val="00AE0CE4"/>
    <w:rsid w:val="00AE23ED"/>
    <w:rsid w:val="00AE327E"/>
    <w:rsid w:val="00AE5309"/>
    <w:rsid w:val="00AE59EA"/>
    <w:rsid w:val="00B05EF8"/>
    <w:rsid w:val="00B06E6B"/>
    <w:rsid w:val="00B1162B"/>
    <w:rsid w:val="00B20A89"/>
    <w:rsid w:val="00B212F0"/>
    <w:rsid w:val="00B235A2"/>
    <w:rsid w:val="00B23E9F"/>
    <w:rsid w:val="00B25400"/>
    <w:rsid w:val="00B3261D"/>
    <w:rsid w:val="00B36654"/>
    <w:rsid w:val="00B43945"/>
    <w:rsid w:val="00B43EB5"/>
    <w:rsid w:val="00B46DC6"/>
    <w:rsid w:val="00B5022A"/>
    <w:rsid w:val="00B50460"/>
    <w:rsid w:val="00B50D3E"/>
    <w:rsid w:val="00B51612"/>
    <w:rsid w:val="00B542F5"/>
    <w:rsid w:val="00B5476D"/>
    <w:rsid w:val="00B61D28"/>
    <w:rsid w:val="00B6363C"/>
    <w:rsid w:val="00B652BD"/>
    <w:rsid w:val="00B666A9"/>
    <w:rsid w:val="00B731F3"/>
    <w:rsid w:val="00B73A26"/>
    <w:rsid w:val="00B82FCA"/>
    <w:rsid w:val="00B83C47"/>
    <w:rsid w:val="00B91F16"/>
    <w:rsid w:val="00B92994"/>
    <w:rsid w:val="00BB44CC"/>
    <w:rsid w:val="00BB4638"/>
    <w:rsid w:val="00BB6C47"/>
    <w:rsid w:val="00BB7447"/>
    <w:rsid w:val="00BC289C"/>
    <w:rsid w:val="00BC2AA4"/>
    <w:rsid w:val="00BC36C2"/>
    <w:rsid w:val="00BC60AD"/>
    <w:rsid w:val="00BD217A"/>
    <w:rsid w:val="00BD3E5B"/>
    <w:rsid w:val="00BD4E87"/>
    <w:rsid w:val="00BD4FFC"/>
    <w:rsid w:val="00BD6126"/>
    <w:rsid w:val="00BE28BC"/>
    <w:rsid w:val="00BE4001"/>
    <w:rsid w:val="00BE48E6"/>
    <w:rsid w:val="00BE5B30"/>
    <w:rsid w:val="00BF00A9"/>
    <w:rsid w:val="00BF2A67"/>
    <w:rsid w:val="00BF35A0"/>
    <w:rsid w:val="00C00153"/>
    <w:rsid w:val="00C005C8"/>
    <w:rsid w:val="00C00E65"/>
    <w:rsid w:val="00C03A3F"/>
    <w:rsid w:val="00C0560E"/>
    <w:rsid w:val="00C073DE"/>
    <w:rsid w:val="00C1065E"/>
    <w:rsid w:val="00C1131A"/>
    <w:rsid w:val="00C14CB6"/>
    <w:rsid w:val="00C14E70"/>
    <w:rsid w:val="00C156B1"/>
    <w:rsid w:val="00C24E13"/>
    <w:rsid w:val="00C2553F"/>
    <w:rsid w:val="00C3533D"/>
    <w:rsid w:val="00C37D88"/>
    <w:rsid w:val="00C40434"/>
    <w:rsid w:val="00C512FB"/>
    <w:rsid w:val="00C5178F"/>
    <w:rsid w:val="00C52277"/>
    <w:rsid w:val="00C52817"/>
    <w:rsid w:val="00C53D78"/>
    <w:rsid w:val="00C54BB2"/>
    <w:rsid w:val="00C54C6E"/>
    <w:rsid w:val="00C557D5"/>
    <w:rsid w:val="00C56E6E"/>
    <w:rsid w:val="00C57F42"/>
    <w:rsid w:val="00C61663"/>
    <w:rsid w:val="00C6322C"/>
    <w:rsid w:val="00C63D91"/>
    <w:rsid w:val="00C65077"/>
    <w:rsid w:val="00C67261"/>
    <w:rsid w:val="00C70BB5"/>
    <w:rsid w:val="00C7208D"/>
    <w:rsid w:val="00C752A3"/>
    <w:rsid w:val="00C76A14"/>
    <w:rsid w:val="00C804B8"/>
    <w:rsid w:val="00C81250"/>
    <w:rsid w:val="00C82DD7"/>
    <w:rsid w:val="00C85B87"/>
    <w:rsid w:val="00C90C8F"/>
    <w:rsid w:val="00C93DBD"/>
    <w:rsid w:val="00C97CC5"/>
    <w:rsid w:val="00CA0F96"/>
    <w:rsid w:val="00CA2539"/>
    <w:rsid w:val="00CA3D7A"/>
    <w:rsid w:val="00CA7A01"/>
    <w:rsid w:val="00CB0393"/>
    <w:rsid w:val="00CB34A7"/>
    <w:rsid w:val="00CB3B4A"/>
    <w:rsid w:val="00CB5109"/>
    <w:rsid w:val="00CB5801"/>
    <w:rsid w:val="00CB7236"/>
    <w:rsid w:val="00CB7E94"/>
    <w:rsid w:val="00CC1FA3"/>
    <w:rsid w:val="00CC2CBC"/>
    <w:rsid w:val="00CC4981"/>
    <w:rsid w:val="00CC65AF"/>
    <w:rsid w:val="00CD2558"/>
    <w:rsid w:val="00CD29A5"/>
    <w:rsid w:val="00CD350C"/>
    <w:rsid w:val="00CD3547"/>
    <w:rsid w:val="00CD43EB"/>
    <w:rsid w:val="00CD440A"/>
    <w:rsid w:val="00CE0D39"/>
    <w:rsid w:val="00CE4112"/>
    <w:rsid w:val="00CE4975"/>
    <w:rsid w:val="00CE563E"/>
    <w:rsid w:val="00CF1082"/>
    <w:rsid w:val="00CF38D7"/>
    <w:rsid w:val="00CF3AD0"/>
    <w:rsid w:val="00CF3F96"/>
    <w:rsid w:val="00D07731"/>
    <w:rsid w:val="00D141CA"/>
    <w:rsid w:val="00D148D3"/>
    <w:rsid w:val="00D204D0"/>
    <w:rsid w:val="00D21506"/>
    <w:rsid w:val="00D24742"/>
    <w:rsid w:val="00D255EE"/>
    <w:rsid w:val="00D302BA"/>
    <w:rsid w:val="00D30E94"/>
    <w:rsid w:val="00D33AD1"/>
    <w:rsid w:val="00D34E7A"/>
    <w:rsid w:val="00D35897"/>
    <w:rsid w:val="00D42123"/>
    <w:rsid w:val="00D43ED0"/>
    <w:rsid w:val="00D4443C"/>
    <w:rsid w:val="00D46123"/>
    <w:rsid w:val="00D47696"/>
    <w:rsid w:val="00D50B10"/>
    <w:rsid w:val="00D517C8"/>
    <w:rsid w:val="00D51FF4"/>
    <w:rsid w:val="00D5692A"/>
    <w:rsid w:val="00D67075"/>
    <w:rsid w:val="00D67F34"/>
    <w:rsid w:val="00D82666"/>
    <w:rsid w:val="00D879E2"/>
    <w:rsid w:val="00D91EC0"/>
    <w:rsid w:val="00D9664B"/>
    <w:rsid w:val="00DA207D"/>
    <w:rsid w:val="00DA50D3"/>
    <w:rsid w:val="00DB0CA0"/>
    <w:rsid w:val="00DB21D8"/>
    <w:rsid w:val="00DB39AD"/>
    <w:rsid w:val="00DB7008"/>
    <w:rsid w:val="00DC08D9"/>
    <w:rsid w:val="00DC25AC"/>
    <w:rsid w:val="00DC4287"/>
    <w:rsid w:val="00DC509C"/>
    <w:rsid w:val="00DE1A16"/>
    <w:rsid w:val="00DE1B0C"/>
    <w:rsid w:val="00DE1DB5"/>
    <w:rsid w:val="00DE22AD"/>
    <w:rsid w:val="00DE486E"/>
    <w:rsid w:val="00DE61BB"/>
    <w:rsid w:val="00DE6383"/>
    <w:rsid w:val="00DF0B4D"/>
    <w:rsid w:val="00DF149B"/>
    <w:rsid w:val="00DF35CF"/>
    <w:rsid w:val="00E00776"/>
    <w:rsid w:val="00E01055"/>
    <w:rsid w:val="00E052F6"/>
    <w:rsid w:val="00E11CD8"/>
    <w:rsid w:val="00E12C9E"/>
    <w:rsid w:val="00E1561A"/>
    <w:rsid w:val="00E2130D"/>
    <w:rsid w:val="00E22E23"/>
    <w:rsid w:val="00E230F6"/>
    <w:rsid w:val="00E23A5B"/>
    <w:rsid w:val="00E24AEF"/>
    <w:rsid w:val="00E24C55"/>
    <w:rsid w:val="00E2684E"/>
    <w:rsid w:val="00E27489"/>
    <w:rsid w:val="00E27866"/>
    <w:rsid w:val="00E368D6"/>
    <w:rsid w:val="00E452CD"/>
    <w:rsid w:val="00E71B5B"/>
    <w:rsid w:val="00E7287D"/>
    <w:rsid w:val="00E7326E"/>
    <w:rsid w:val="00E74948"/>
    <w:rsid w:val="00E75AF7"/>
    <w:rsid w:val="00E80AE6"/>
    <w:rsid w:val="00E83AF7"/>
    <w:rsid w:val="00E9225C"/>
    <w:rsid w:val="00E94510"/>
    <w:rsid w:val="00E94AC9"/>
    <w:rsid w:val="00E94CAD"/>
    <w:rsid w:val="00EA4725"/>
    <w:rsid w:val="00EB067A"/>
    <w:rsid w:val="00EB278E"/>
    <w:rsid w:val="00EC1D49"/>
    <w:rsid w:val="00EC4FD1"/>
    <w:rsid w:val="00ED2B4F"/>
    <w:rsid w:val="00ED30C0"/>
    <w:rsid w:val="00ED7A52"/>
    <w:rsid w:val="00EE3508"/>
    <w:rsid w:val="00EE5034"/>
    <w:rsid w:val="00EF358D"/>
    <w:rsid w:val="00EF690E"/>
    <w:rsid w:val="00EF7B4B"/>
    <w:rsid w:val="00F02311"/>
    <w:rsid w:val="00F0545A"/>
    <w:rsid w:val="00F059DF"/>
    <w:rsid w:val="00F07968"/>
    <w:rsid w:val="00F14130"/>
    <w:rsid w:val="00F15252"/>
    <w:rsid w:val="00F206EB"/>
    <w:rsid w:val="00F2394C"/>
    <w:rsid w:val="00F32650"/>
    <w:rsid w:val="00F32B62"/>
    <w:rsid w:val="00F33C1E"/>
    <w:rsid w:val="00F34381"/>
    <w:rsid w:val="00F4082B"/>
    <w:rsid w:val="00F43311"/>
    <w:rsid w:val="00F44B00"/>
    <w:rsid w:val="00F44EED"/>
    <w:rsid w:val="00F4546E"/>
    <w:rsid w:val="00F46DE2"/>
    <w:rsid w:val="00F502A1"/>
    <w:rsid w:val="00F5174E"/>
    <w:rsid w:val="00F57445"/>
    <w:rsid w:val="00F64F28"/>
    <w:rsid w:val="00F6526B"/>
    <w:rsid w:val="00F65E09"/>
    <w:rsid w:val="00F6681C"/>
    <w:rsid w:val="00F7056C"/>
    <w:rsid w:val="00F71B18"/>
    <w:rsid w:val="00F749C4"/>
    <w:rsid w:val="00F75618"/>
    <w:rsid w:val="00F80118"/>
    <w:rsid w:val="00F80EA6"/>
    <w:rsid w:val="00F8169E"/>
    <w:rsid w:val="00F81CB1"/>
    <w:rsid w:val="00F94FDA"/>
    <w:rsid w:val="00F96063"/>
    <w:rsid w:val="00FA71AB"/>
    <w:rsid w:val="00FA7D4C"/>
    <w:rsid w:val="00FB02C9"/>
    <w:rsid w:val="00FB285A"/>
    <w:rsid w:val="00FB5946"/>
    <w:rsid w:val="00FC0005"/>
    <w:rsid w:val="00FC05EB"/>
    <w:rsid w:val="00FC2C20"/>
    <w:rsid w:val="00FC56DB"/>
    <w:rsid w:val="00FC648C"/>
    <w:rsid w:val="00FC7891"/>
    <w:rsid w:val="00FD0E36"/>
    <w:rsid w:val="00FD37AE"/>
    <w:rsid w:val="00FD4348"/>
    <w:rsid w:val="00FD5D71"/>
    <w:rsid w:val="00FE0A10"/>
    <w:rsid w:val="00FE124A"/>
    <w:rsid w:val="00FE49DB"/>
    <w:rsid w:val="00FE62EA"/>
    <w:rsid w:val="00FF5078"/>
    <w:rsid w:val="00FF58E5"/>
    <w:rsid w:val="00FF6C0E"/>
    <w:rsid w:val="011B33FE"/>
    <w:rsid w:val="02B4058D"/>
    <w:rsid w:val="03593FD5"/>
    <w:rsid w:val="035E512D"/>
    <w:rsid w:val="03711A46"/>
    <w:rsid w:val="04361B41"/>
    <w:rsid w:val="04835E1E"/>
    <w:rsid w:val="062F096C"/>
    <w:rsid w:val="06ED1BBB"/>
    <w:rsid w:val="072514E6"/>
    <w:rsid w:val="07452FD7"/>
    <w:rsid w:val="07E17317"/>
    <w:rsid w:val="0824231E"/>
    <w:rsid w:val="09E80A42"/>
    <w:rsid w:val="0A7E0FEF"/>
    <w:rsid w:val="0B223B34"/>
    <w:rsid w:val="0B9E1D73"/>
    <w:rsid w:val="0C9F4BE5"/>
    <w:rsid w:val="0CDF47EB"/>
    <w:rsid w:val="0D26294C"/>
    <w:rsid w:val="0D643474"/>
    <w:rsid w:val="0D7E6DCE"/>
    <w:rsid w:val="0E2D7D0A"/>
    <w:rsid w:val="0FF93662"/>
    <w:rsid w:val="104D04FF"/>
    <w:rsid w:val="108D2CE2"/>
    <w:rsid w:val="108F5B55"/>
    <w:rsid w:val="1172056F"/>
    <w:rsid w:val="13330C93"/>
    <w:rsid w:val="135E6673"/>
    <w:rsid w:val="14E20FBE"/>
    <w:rsid w:val="15927C28"/>
    <w:rsid w:val="15AC3C0A"/>
    <w:rsid w:val="15C73C18"/>
    <w:rsid w:val="169F064E"/>
    <w:rsid w:val="17066FFE"/>
    <w:rsid w:val="170F4ABE"/>
    <w:rsid w:val="173471F4"/>
    <w:rsid w:val="173939ED"/>
    <w:rsid w:val="184B3B75"/>
    <w:rsid w:val="19BC6614"/>
    <w:rsid w:val="19F57852"/>
    <w:rsid w:val="1A583C54"/>
    <w:rsid w:val="1B7B73D6"/>
    <w:rsid w:val="1BEA0FE8"/>
    <w:rsid w:val="1C2107F9"/>
    <w:rsid w:val="1C8A609A"/>
    <w:rsid w:val="1CFD258A"/>
    <w:rsid w:val="1D8673E4"/>
    <w:rsid w:val="1E0C76C1"/>
    <w:rsid w:val="1E5173AC"/>
    <w:rsid w:val="1E6760D4"/>
    <w:rsid w:val="210938E5"/>
    <w:rsid w:val="210C7E45"/>
    <w:rsid w:val="215F13D7"/>
    <w:rsid w:val="21644890"/>
    <w:rsid w:val="21E5773D"/>
    <w:rsid w:val="23027BE6"/>
    <w:rsid w:val="23BB7CDD"/>
    <w:rsid w:val="24365A28"/>
    <w:rsid w:val="2619102D"/>
    <w:rsid w:val="26D91FDB"/>
    <w:rsid w:val="286555B3"/>
    <w:rsid w:val="2A0E2A4D"/>
    <w:rsid w:val="2A354E57"/>
    <w:rsid w:val="2A533D36"/>
    <w:rsid w:val="2B5C5078"/>
    <w:rsid w:val="2CB43373"/>
    <w:rsid w:val="2D8547E6"/>
    <w:rsid w:val="2DE03861"/>
    <w:rsid w:val="2E5F57E2"/>
    <w:rsid w:val="2F0C3203"/>
    <w:rsid w:val="32A822BC"/>
    <w:rsid w:val="334C0DF0"/>
    <w:rsid w:val="37115860"/>
    <w:rsid w:val="37431E00"/>
    <w:rsid w:val="3753272D"/>
    <w:rsid w:val="383853AA"/>
    <w:rsid w:val="397D6EB4"/>
    <w:rsid w:val="3A626529"/>
    <w:rsid w:val="3B072967"/>
    <w:rsid w:val="3B2C4009"/>
    <w:rsid w:val="3C2B1AA7"/>
    <w:rsid w:val="3D1A0928"/>
    <w:rsid w:val="3D226F69"/>
    <w:rsid w:val="3D637B68"/>
    <w:rsid w:val="3D980B7F"/>
    <w:rsid w:val="3E3A332B"/>
    <w:rsid w:val="3E3B3BEC"/>
    <w:rsid w:val="3E9F09FF"/>
    <w:rsid w:val="3F276B8D"/>
    <w:rsid w:val="3FA221A1"/>
    <w:rsid w:val="402A7152"/>
    <w:rsid w:val="4043309D"/>
    <w:rsid w:val="409E1090"/>
    <w:rsid w:val="40B732E0"/>
    <w:rsid w:val="40D877D7"/>
    <w:rsid w:val="40DA1788"/>
    <w:rsid w:val="411070A9"/>
    <w:rsid w:val="423B49CD"/>
    <w:rsid w:val="42F8373B"/>
    <w:rsid w:val="44D869B1"/>
    <w:rsid w:val="45445631"/>
    <w:rsid w:val="45F3064F"/>
    <w:rsid w:val="46164604"/>
    <w:rsid w:val="483F5016"/>
    <w:rsid w:val="48620B47"/>
    <w:rsid w:val="48811444"/>
    <w:rsid w:val="48C64CC9"/>
    <w:rsid w:val="48FE7D5E"/>
    <w:rsid w:val="495916D9"/>
    <w:rsid w:val="4AC05D6D"/>
    <w:rsid w:val="4B8A71CB"/>
    <w:rsid w:val="4C067392"/>
    <w:rsid w:val="4D3269FA"/>
    <w:rsid w:val="4DAD0300"/>
    <w:rsid w:val="4DE66A06"/>
    <w:rsid w:val="4EAD6CE2"/>
    <w:rsid w:val="4EB47424"/>
    <w:rsid w:val="4F1B21C4"/>
    <w:rsid w:val="4F20100F"/>
    <w:rsid w:val="50B02BDB"/>
    <w:rsid w:val="51402E7D"/>
    <w:rsid w:val="529E3218"/>
    <w:rsid w:val="52D73DB9"/>
    <w:rsid w:val="53063088"/>
    <w:rsid w:val="531036A3"/>
    <w:rsid w:val="56332FB1"/>
    <w:rsid w:val="56626C54"/>
    <w:rsid w:val="58352D41"/>
    <w:rsid w:val="58C63D03"/>
    <w:rsid w:val="595E6D2A"/>
    <w:rsid w:val="59D14FBA"/>
    <w:rsid w:val="5A376B3D"/>
    <w:rsid w:val="5A6D3DD0"/>
    <w:rsid w:val="5AD63F78"/>
    <w:rsid w:val="5ADA64B7"/>
    <w:rsid w:val="5B472E76"/>
    <w:rsid w:val="5D182370"/>
    <w:rsid w:val="5DA43409"/>
    <w:rsid w:val="5DA82533"/>
    <w:rsid w:val="5DAA149E"/>
    <w:rsid w:val="5E624638"/>
    <w:rsid w:val="5E80698E"/>
    <w:rsid w:val="601825AC"/>
    <w:rsid w:val="606E6D74"/>
    <w:rsid w:val="61061E5B"/>
    <w:rsid w:val="62AC5524"/>
    <w:rsid w:val="62AF7E59"/>
    <w:rsid w:val="62DB2CCC"/>
    <w:rsid w:val="64584556"/>
    <w:rsid w:val="64702241"/>
    <w:rsid w:val="65D10B45"/>
    <w:rsid w:val="696B7DAF"/>
    <w:rsid w:val="6A816805"/>
    <w:rsid w:val="6C0261AE"/>
    <w:rsid w:val="6CB70114"/>
    <w:rsid w:val="6DFC7D14"/>
    <w:rsid w:val="6E0948CB"/>
    <w:rsid w:val="6E723902"/>
    <w:rsid w:val="6FCD41C4"/>
    <w:rsid w:val="700C1C4C"/>
    <w:rsid w:val="70AC7B74"/>
    <w:rsid w:val="7193586E"/>
    <w:rsid w:val="71E00A16"/>
    <w:rsid w:val="74674C32"/>
    <w:rsid w:val="75A27558"/>
    <w:rsid w:val="76744A1E"/>
    <w:rsid w:val="77E861B7"/>
    <w:rsid w:val="79443C13"/>
    <w:rsid w:val="7B9C0EFD"/>
    <w:rsid w:val="7CC74F13"/>
    <w:rsid w:val="7CD95518"/>
    <w:rsid w:val="7DA10EF7"/>
    <w:rsid w:val="7EDE1FC2"/>
    <w:rsid w:val="7FEE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name="toc 4" w:locked="1"/>
    <w:lsdException w:unhideWhenUsed="0" w:uiPriority="0" w:name="toc 5" w:locked="1"/>
    <w:lsdException w:unhideWhenUsed="0" w:uiPriority="0" w:name="toc 6" w:locked="1"/>
    <w:lsdException w:unhideWhenUsed="0" w:uiPriority="0" w:name="toc 7" w:locked="1"/>
    <w:lsdException w:unhideWhenUsed="0" w:uiPriority="0" w:name="toc 8" w:locked="1"/>
    <w:lsdException w:unhideWhenUsed="0"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imes New Roman"/>
      <w:kern w:val="2"/>
      <w:sz w:val="32"/>
      <w:szCs w:val="22"/>
      <w:lang w:val="en-US" w:eastAsia="zh-CN" w:bidi="ar-SA"/>
    </w:rPr>
  </w:style>
  <w:style w:type="paragraph" w:styleId="2">
    <w:name w:val="heading 1"/>
    <w:basedOn w:val="1"/>
    <w:next w:val="1"/>
    <w:link w:val="50"/>
    <w:qFormat/>
    <w:locked/>
    <w:uiPriority w:val="0"/>
    <w:pPr>
      <w:keepNext/>
      <w:keepLines/>
      <w:spacing w:beforeLines="50" w:afterLines="50"/>
      <w:outlineLvl w:val="0"/>
    </w:pPr>
    <w:rPr>
      <w:rFonts w:eastAsia="黑体"/>
      <w:b/>
      <w:kern w:val="44"/>
      <w:sz w:val="36"/>
    </w:rPr>
  </w:style>
  <w:style w:type="paragraph" w:styleId="3">
    <w:name w:val="heading 2"/>
    <w:basedOn w:val="1"/>
    <w:next w:val="1"/>
    <w:link w:val="28"/>
    <w:qFormat/>
    <w:locked/>
    <w:uiPriority w:val="0"/>
    <w:pPr>
      <w:keepNext/>
      <w:keepLines/>
      <w:outlineLvl w:val="1"/>
    </w:pPr>
    <w:rPr>
      <w:rFonts w:eastAsia="楷体"/>
      <w:b/>
      <w:bCs/>
      <w:szCs w:val="32"/>
    </w:rPr>
  </w:style>
  <w:style w:type="paragraph" w:styleId="4">
    <w:name w:val="heading 3"/>
    <w:basedOn w:val="1"/>
    <w:next w:val="1"/>
    <w:link w:val="29"/>
    <w:qFormat/>
    <w:locked/>
    <w:uiPriority w:val="0"/>
    <w:pPr>
      <w:keepNext/>
      <w:keepLines/>
      <w:outlineLvl w:val="2"/>
    </w:pPr>
    <w:rPr>
      <w:b/>
      <w:bCs/>
      <w:sz w:val="30"/>
      <w:szCs w:val="32"/>
    </w:rPr>
  </w:style>
  <w:style w:type="character" w:default="1" w:styleId="17">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unhideWhenUsed/>
    <w:qFormat/>
    <w:uiPriority w:val="99"/>
    <w:rPr>
      <w:rFonts w:ascii="宋体" w:eastAsia="宋体"/>
      <w:sz w:val="18"/>
      <w:szCs w:val="18"/>
    </w:rPr>
  </w:style>
  <w:style w:type="paragraph" w:styleId="6">
    <w:name w:val="toc 3"/>
    <w:basedOn w:val="1"/>
    <w:next w:val="1"/>
    <w:qFormat/>
    <w:locked/>
    <w:uiPriority w:val="39"/>
    <w:pPr>
      <w:spacing w:line="500" w:lineRule="exact"/>
      <w:ind w:left="200" w:leftChars="200"/>
    </w:pPr>
    <w:rPr>
      <w:sz w:val="28"/>
    </w:rPr>
  </w:style>
  <w:style w:type="paragraph" w:styleId="7">
    <w:name w:val="Balloon Text"/>
    <w:basedOn w:val="1"/>
    <w:link w:val="31"/>
    <w:unhideWhenUsed/>
    <w:qFormat/>
    <w:uiPriority w:val="99"/>
    <w:pPr>
      <w:spacing w:line="240" w:lineRule="auto"/>
    </w:pPr>
    <w:rPr>
      <w:sz w:val="18"/>
      <w:szCs w:val="18"/>
    </w:rPr>
  </w:style>
  <w:style w:type="paragraph" w:styleId="8">
    <w:name w:val="footer"/>
    <w:basedOn w:val="1"/>
    <w:link w:val="32"/>
    <w:qFormat/>
    <w:uiPriority w:val="99"/>
    <w:pPr>
      <w:tabs>
        <w:tab w:val="center" w:pos="4153"/>
        <w:tab w:val="right" w:pos="8306"/>
      </w:tabs>
      <w:snapToGrid w:val="0"/>
      <w:jc w:val="left"/>
    </w:pPr>
    <w:rPr>
      <w:rFonts w:eastAsia="宋体"/>
      <w:kern w:val="0"/>
      <w:sz w:val="18"/>
      <w:szCs w:val="18"/>
    </w:rPr>
  </w:style>
  <w:style w:type="paragraph" w:styleId="9">
    <w:name w:val="header"/>
    <w:basedOn w:val="1"/>
    <w:link w:val="33"/>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0">
    <w:name w:val="toc 1"/>
    <w:basedOn w:val="1"/>
    <w:next w:val="1"/>
    <w:qFormat/>
    <w:locked/>
    <w:uiPriority w:val="39"/>
    <w:pPr>
      <w:spacing w:line="500" w:lineRule="atLeast"/>
      <w:ind w:firstLine="0" w:firstLineChars="0"/>
    </w:pPr>
    <w:rPr>
      <w:b/>
      <w:sz w:val="30"/>
    </w:rPr>
  </w:style>
  <w:style w:type="paragraph" w:styleId="11">
    <w:name w:val="toc 2"/>
    <w:basedOn w:val="1"/>
    <w:next w:val="1"/>
    <w:qFormat/>
    <w:locked/>
    <w:uiPriority w:val="39"/>
    <w:pPr>
      <w:spacing w:line="500" w:lineRule="exact"/>
    </w:pPr>
    <w:rPr>
      <w:b/>
      <w:sz w:val="30"/>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4"/>
    <w:qFormat/>
    <w:locked/>
    <w:uiPriority w:val="0"/>
    <w:pPr>
      <w:spacing w:before="240" w:after="60"/>
      <w:jc w:val="center"/>
      <w:outlineLvl w:val="0"/>
    </w:pPr>
    <w:rPr>
      <w:rFonts w:ascii="等线 Light" w:hAnsi="等线 Light" w:eastAsia="宋体"/>
      <w:b/>
      <w:bCs/>
      <w:szCs w:val="32"/>
    </w:r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16">
    <w:name w:val="Table Theme"/>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page number"/>
    <w:qFormat/>
    <w:uiPriority w:val="99"/>
    <w:rPr>
      <w:rFonts w:cs="Times New Roman"/>
    </w:rPr>
  </w:style>
  <w:style w:type="character" w:styleId="19">
    <w:name w:val="FollowedHyperlink"/>
    <w:unhideWhenUsed/>
    <w:qFormat/>
    <w:uiPriority w:val="99"/>
    <w:rPr>
      <w:color w:val="60636D"/>
      <w:u w:val="none"/>
    </w:rPr>
  </w:style>
  <w:style w:type="character" w:styleId="20">
    <w:name w:val="Emphasis"/>
    <w:qFormat/>
    <w:locked/>
    <w:uiPriority w:val="0"/>
  </w:style>
  <w:style w:type="character" w:styleId="21">
    <w:name w:val="HTML Definition"/>
    <w:unhideWhenUsed/>
    <w:qFormat/>
    <w:uiPriority w:val="99"/>
  </w:style>
  <w:style w:type="character" w:styleId="22">
    <w:name w:val="HTML Variable"/>
    <w:unhideWhenUsed/>
    <w:qFormat/>
    <w:uiPriority w:val="99"/>
  </w:style>
  <w:style w:type="character" w:styleId="23">
    <w:name w:val="Hyperlink"/>
    <w:qFormat/>
    <w:uiPriority w:val="99"/>
    <w:rPr>
      <w:rFonts w:cs="Times New Roman"/>
      <w:color w:val="333333"/>
      <w:u w:val="none"/>
      <w:shd w:val="clear" w:color="auto" w:fill="auto"/>
    </w:rPr>
  </w:style>
  <w:style w:type="character" w:styleId="24">
    <w:name w:val="HTML Code"/>
    <w:unhideWhenUsed/>
    <w:qFormat/>
    <w:uiPriority w:val="99"/>
    <w:rPr>
      <w:rFonts w:ascii="Courier New" w:hAnsi="Courier New"/>
      <w:sz w:val="20"/>
    </w:rPr>
  </w:style>
  <w:style w:type="character" w:styleId="25">
    <w:name w:val="HTML Cite"/>
    <w:unhideWhenUsed/>
    <w:qFormat/>
    <w:uiPriority w:val="99"/>
  </w:style>
  <w:style w:type="character" w:styleId="26">
    <w:name w:val="HTML Keyboard"/>
    <w:unhideWhenUsed/>
    <w:qFormat/>
    <w:uiPriority w:val="99"/>
    <w:rPr>
      <w:rFonts w:ascii="Courier New" w:hAnsi="Courier New"/>
      <w:sz w:val="20"/>
    </w:rPr>
  </w:style>
  <w:style w:type="character" w:styleId="27">
    <w:name w:val="HTML Sample"/>
    <w:unhideWhenUsed/>
    <w:qFormat/>
    <w:uiPriority w:val="99"/>
    <w:rPr>
      <w:rFonts w:ascii="Courier New" w:hAnsi="Courier New"/>
    </w:rPr>
  </w:style>
  <w:style w:type="character" w:customStyle="1" w:styleId="28">
    <w:name w:val="标题 2 Char"/>
    <w:link w:val="3"/>
    <w:qFormat/>
    <w:uiPriority w:val="0"/>
    <w:rPr>
      <w:rFonts w:eastAsia="楷体" w:cs="Times New Roman"/>
      <w:b/>
      <w:bCs/>
      <w:kern w:val="2"/>
      <w:sz w:val="32"/>
      <w:szCs w:val="32"/>
    </w:rPr>
  </w:style>
  <w:style w:type="character" w:customStyle="1" w:styleId="29">
    <w:name w:val="标题 3 Char"/>
    <w:link w:val="4"/>
    <w:qFormat/>
    <w:uiPriority w:val="0"/>
    <w:rPr>
      <w:rFonts w:eastAsia="仿宋"/>
      <w:b/>
      <w:bCs/>
      <w:kern w:val="2"/>
      <w:sz w:val="30"/>
      <w:szCs w:val="32"/>
    </w:rPr>
  </w:style>
  <w:style w:type="character" w:customStyle="1" w:styleId="30">
    <w:name w:val="文档结构图 Char"/>
    <w:link w:val="5"/>
    <w:semiHidden/>
    <w:qFormat/>
    <w:uiPriority w:val="99"/>
    <w:rPr>
      <w:rFonts w:ascii="宋体"/>
      <w:kern w:val="2"/>
      <w:sz w:val="18"/>
      <w:szCs w:val="18"/>
    </w:rPr>
  </w:style>
  <w:style w:type="character" w:customStyle="1" w:styleId="31">
    <w:name w:val="批注框文本 Char"/>
    <w:link w:val="7"/>
    <w:semiHidden/>
    <w:qFormat/>
    <w:uiPriority w:val="99"/>
    <w:rPr>
      <w:rFonts w:eastAsia="仿宋"/>
      <w:kern w:val="2"/>
      <w:sz w:val="18"/>
      <w:szCs w:val="18"/>
    </w:rPr>
  </w:style>
  <w:style w:type="character" w:customStyle="1" w:styleId="32">
    <w:name w:val="页脚 Char"/>
    <w:link w:val="8"/>
    <w:qFormat/>
    <w:locked/>
    <w:uiPriority w:val="99"/>
    <w:rPr>
      <w:rFonts w:cs="Times New Roman"/>
      <w:sz w:val="18"/>
      <w:szCs w:val="18"/>
    </w:rPr>
  </w:style>
  <w:style w:type="character" w:customStyle="1" w:styleId="33">
    <w:name w:val="页眉 Char"/>
    <w:link w:val="9"/>
    <w:semiHidden/>
    <w:qFormat/>
    <w:locked/>
    <w:uiPriority w:val="99"/>
    <w:rPr>
      <w:rFonts w:cs="Times New Roman"/>
      <w:sz w:val="18"/>
      <w:szCs w:val="18"/>
    </w:rPr>
  </w:style>
  <w:style w:type="character" w:customStyle="1" w:styleId="34">
    <w:name w:val="标题 Char"/>
    <w:link w:val="13"/>
    <w:qFormat/>
    <w:uiPriority w:val="0"/>
    <w:rPr>
      <w:rFonts w:ascii="等线 Light" w:hAnsi="等线 Light" w:cs="Times New Roman"/>
      <w:b/>
      <w:bCs/>
      <w:kern w:val="2"/>
      <w:sz w:val="32"/>
      <w:szCs w:val="32"/>
    </w:rPr>
  </w:style>
  <w:style w:type="character" w:customStyle="1" w:styleId="35">
    <w:name w:val="hover31"/>
    <w:qFormat/>
    <w:uiPriority w:val="0"/>
  </w:style>
  <w:style w:type="character" w:customStyle="1" w:styleId="36">
    <w:name w:val="share_box"/>
    <w:qFormat/>
    <w:uiPriority w:val="0"/>
  </w:style>
  <w:style w:type="character" w:customStyle="1" w:styleId="37">
    <w:name w:val="first-child"/>
    <w:qFormat/>
    <w:uiPriority w:val="0"/>
  </w:style>
  <w:style w:type="character" w:customStyle="1" w:styleId="38">
    <w:name w:val="fontstyle11"/>
    <w:qFormat/>
    <w:uiPriority w:val="0"/>
    <w:rPr>
      <w:rFonts w:ascii="DY338 + ZBfHKv-347" w:hAnsi="DY338 + ZBfHKv-347" w:eastAsia="DY338 + ZBfHKv-347" w:cs="DY338 + ZBfHKv-347"/>
      <w:color w:val="000000"/>
      <w:sz w:val="30"/>
      <w:szCs w:val="30"/>
    </w:rPr>
  </w:style>
  <w:style w:type="character" w:customStyle="1" w:styleId="39">
    <w:name w:val="hover"/>
    <w:qFormat/>
    <w:uiPriority w:val="0"/>
  </w:style>
  <w:style w:type="character" w:customStyle="1" w:styleId="40">
    <w:name w:val="layui-layer-tabnow"/>
    <w:qFormat/>
    <w:uiPriority w:val="0"/>
    <w:rPr>
      <w:bdr w:val="single" w:color="CCCCCC" w:sz="6" w:space="0"/>
      <w:shd w:val="clear" w:color="auto" w:fill="FFFFFF"/>
    </w:rPr>
  </w:style>
  <w:style w:type="character" w:customStyle="1" w:styleId="41">
    <w:name w:val="hover2"/>
    <w:qFormat/>
    <w:uiPriority w:val="0"/>
    <w:rPr>
      <w:color w:val="929292"/>
    </w:rPr>
  </w:style>
  <w:style w:type="character" w:customStyle="1" w:styleId="42">
    <w:name w:val="hover30"/>
    <w:qFormat/>
    <w:uiPriority w:val="0"/>
    <w:rPr>
      <w:color w:val="929292"/>
    </w:rPr>
  </w:style>
  <w:style w:type="character" w:customStyle="1" w:styleId="43">
    <w:name w:val="hover1"/>
    <w:qFormat/>
    <w:uiPriority w:val="0"/>
    <w:rPr>
      <w:color w:val="CCCCCC"/>
    </w:rPr>
  </w:style>
  <w:style w:type="character" w:customStyle="1" w:styleId="44">
    <w:name w:val="xll_current"/>
    <w:qFormat/>
    <w:uiPriority w:val="0"/>
    <w:rPr>
      <w:color w:val="FFFFFF"/>
      <w:shd w:val="clear" w:color="auto" w:fill="FF6200"/>
    </w:rPr>
  </w:style>
  <w:style w:type="character" w:customStyle="1" w:styleId="45">
    <w:name w:val="xll_current1"/>
    <w:qFormat/>
    <w:uiPriority w:val="0"/>
    <w:rPr>
      <w:color w:val="FFFFFF"/>
      <w:shd w:val="clear" w:color="auto" w:fill="FF6200"/>
    </w:rPr>
  </w:style>
  <w:style w:type="character" w:customStyle="1" w:styleId="46">
    <w:name w:val="fontstyle01"/>
    <w:qFormat/>
    <w:uiPriority w:val="0"/>
    <w:rPr>
      <w:rFonts w:ascii="仿宋" w:hAnsi="仿宋" w:eastAsia="仿宋" w:cs="仿宋"/>
      <w:color w:val="000000"/>
      <w:sz w:val="30"/>
      <w:szCs w:val="30"/>
    </w:rPr>
  </w:style>
  <w:style w:type="character" w:customStyle="1" w:styleId="47">
    <w:name w:val="hover29"/>
    <w:qFormat/>
    <w:uiPriority w:val="0"/>
    <w:rPr>
      <w:color w:val="CCCCCC"/>
    </w:rPr>
  </w:style>
  <w:style w:type="paragraph" w:customStyle="1" w:styleId="48">
    <w:name w:val="正文 A"/>
    <w:qFormat/>
    <w:uiPriority w:val="99"/>
    <w:rPr>
      <w:rFonts w:ascii="Arial Unicode MS" w:hAnsi="Arial Unicode MS" w:eastAsia="Arial Unicode MS" w:cs="Arial Unicode MS"/>
      <w:color w:val="000000"/>
      <w:sz w:val="28"/>
      <w:szCs w:val="28"/>
      <w:lang w:val="zh-TW" w:eastAsia="zh-TW" w:bidi="ar-SA"/>
    </w:rPr>
  </w:style>
  <w:style w:type="paragraph" w:customStyle="1" w:styleId="49">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50">
    <w:name w:val="标题 1 Char"/>
    <w:basedOn w:val="17"/>
    <w:link w:val="2"/>
    <w:qFormat/>
    <w:uiPriority w:val="0"/>
    <w:rPr>
      <w:rFonts w:hint="eastAsia" w:ascii="黑体" w:hAnsi="宋体" w:eastAsia="黑体" w:cs="黑体"/>
      <w:b/>
      <w:kern w:val="44"/>
      <w:sz w:val="36"/>
      <w:szCs w:val="22"/>
    </w:rPr>
  </w:style>
  <w:style w:type="character" w:customStyle="1" w:styleId="51">
    <w:name w:val="标题 3 字符"/>
    <w:qFormat/>
    <w:uiPriority w:val="0"/>
    <w:rPr>
      <w:rFonts w:eastAsia="仿宋"/>
      <w:b/>
      <w:bCs/>
      <w:kern w:val="2"/>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37</Pages>
  <Words>16708</Words>
  <Characters>16846</Characters>
  <Lines>139</Lines>
  <Paragraphs>39</Paragraphs>
  <TotalTime>93</TotalTime>
  <ScaleCrop>false</ScaleCrop>
  <LinksUpToDate>false</LinksUpToDate>
  <CharactersWithSpaces>16894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2022-08-25T06:43:00Z</dcterms:created>
  <dc:creator>流氓1411730364</dc:creator>
  <cp:lastModifiedBy>像海绵宝宝、永远青春可爱</cp:lastModifiedBy>
  <cp:lastPrinted>2022-10-18T03:05:00Z</cp:lastPrinted>
  <dcterms:modified xsi:type="dcterms:W3CDTF">2024-07-15T01:46:16Z</dcterms:modified>
  <dc:title>长春-公主岭同城化协同发展规划（2019-2025年）</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D411E00C04C1481EB298E88B65D86E92</vt:lpwstr>
  </property>
</Properties>
</file>