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B3" w:rsidRDefault="00A95D6B">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《梅河口市商品房预售资金监督管理办法实施细则》文件政策解读</w:t>
      </w:r>
    </w:p>
    <w:p w:rsidR="00614BB3" w:rsidRDefault="00614BB3">
      <w:pPr>
        <w:jc w:val="center"/>
        <w:rPr>
          <w:rFonts w:ascii="方正小标宋_GBK" w:eastAsia="方正小标宋_GBK" w:hAnsi="方正小标宋_GBK" w:cs="方正小标宋_GBK"/>
          <w:bCs/>
          <w:sz w:val="44"/>
          <w:szCs w:val="44"/>
        </w:rPr>
      </w:pPr>
    </w:p>
    <w:p w:rsidR="00614BB3" w:rsidRDefault="00A95D6B">
      <w:pPr>
        <w:ind w:firstLineChars="250" w:firstLine="850"/>
        <w:rPr>
          <w:rFonts w:ascii="仿宋" w:eastAsia="仿宋" w:hAnsi="仿宋" w:cs="方正仿宋_GBK"/>
          <w:bCs/>
          <w:sz w:val="34"/>
          <w:szCs w:val="34"/>
        </w:rPr>
      </w:pPr>
      <w:r>
        <w:rPr>
          <w:rFonts w:ascii="黑体" w:eastAsia="黑体" w:hAnsi="黑体" w:cs="黑体" w:hint="eastAsia"/>
          <w:bCs/>
          <w:sz w:val="34"/>
          <w:szCs w:val="34"/>
        </w:rPr>
        <w:t>一、制定《梅河口市商品房预售资金监督管理办法实施细则》背景及必要性</w:t>
      </w:r>
    </w:p>
    <w:p w:rsidR="00614BB3" w:rsidRDefault="00A95D6B">
      <w:pPr>
        <w:ind w:firstLineChars="200" w:firstLine="680"/>
        <w:rPr>
          <w:rFonts w:ascii="仿宋" w:eastAsia="仿宋" w:hAnsi="仿宋" w:cs="方正仿宋_GBK"/>
          <w:bCs/>
          <w:sz w:val="34"/>
          <w:szCs w:val="34"/>
        </w:rPr>
      </w:pPr>
      <w:r>
        <w:rPr>
          <w:rFonts w:ascii="仿宋" w:eastAsia="仿宋" w:hAnsi="仿宋" w:cs="方正仿宋_GBK" w:hint="eastAsia"/>
          <w:bCs/>
          <w:sz w:val="34"/>
          <w:szCs w:val="34"/>
        </w:rPr>
        <w:t>（一）开展资金监管可规范房地产市场秩序防范烂尾工程。多年来，房地产业快速发展，显著促进经济提速和社会发展,我市对房地产市场的管理也始终在不断地规范和完善。</w:t>
      </w:r>
      <w:r w:rsidR="002F3974">
        <w:rPr>
          <w:rFonts w:ascii="仿宋" w:eastAsia="仿宋" w:hAnsi="仿宋" w:cs="方正仿宋_GBK" w:hint="eastAsia"/>
          <w:bCs/>
          <w:sz w:val="34"/>
          <w:szCs w:val="34"/>
        </w:rPr>
        <w:t>为防止</w:t>
      </w:r>
      <w:r>
        <w:rPr>
          <w:rFonts w:ascii="仿宋" w:eastAsia="仿宋" w:hAnsi="仿宋" w:cs="方正仿宋_GBK" w:hint="eastAsia"/>
          <w:bCs/>
          <w:sz w:val="34"/>
          <w:szCs w:val="34"/>
        </w:rPr>
        <w:t>开发企业自有资金不足时</w:t>
      </w:r>
      <w:r w:rsidR="002F3974">
        <w:rPr>
          <w:rFonts w:ascii="仿宋" w:eastAsia="仿宋" w:hAnsi="仿宋" w:cs="方正仿宋_GBK" w:hint="eastAsia"/>
          <w:bCs/>
          <w:sz w:val="34"/>
          <w:szCs w:val="34"/>
        </w:rPr>
        <w:t>而</w:t>
      </w:r>
      <w:r>
        <w:rPr>
          <w:rFonts w:ascii="仿宋" w:eastAsia="仿宋" w:hAnsi="仿宋" w:cs="方正仿宋_GBK" w:hint="eastAsia"/>
          <w:bCs/>
          <w:sz w:val="34"/>
          <w:szCs w:val="34"/>
        </w:rPr>
        <w:t>把商品房预售款挪作他用</w:t>
      </w:r>
      <w:r w:rsidR="002F3974">
        <w:rPr>
          <w:rFonts w:ascii="仿宋" w:eastAsia="仿宋" w:hAnsi="仿宋" w:cs="方正仿宋_GBK" w:hint="eastAsia"/>
          <w:bCs/>
          <w:sz w:val="34"/>
          <w:szCs w:val="34"/>
        </w:rPr>
        <w:t>，</w:t>
      </w:r>
      <w:r>
        <w:rPr>
          <w:rFonts w:ascii="仿宋" w:eastAsia="仿宋" w:hAnsi="仿宋" w:cs="方正仿宋_GBK" w:hint="eastAsia"/>
          <w:bCs/>
          <w:sz w:val="34"/>
          <w:szCs w:val="34"/>
        </w:rPr>
        <w:t>楼盘不能按时竣工，出现延期交房，形成“烂尾楼”等情况。</w:t>
      </w:r>
      <w:r w:rsidR="002F3974">
        <w:rPr>
          <w:rFonts w:ascii="仿宋" w:eastAsia="仿宋" w:hAnsi="仿宋" w:cs="方正仿宋_GBK" w:hint="eastAsia"/>
          <w:bCs/>
          <w:sz w:val="34"/>
          <w:szCs w:val="34"/>
        </w:rPr>
        <w:t>同时为保证</w:t>
      </w:r>
      <w:r>
        <w:rPr>
          <w:rFonts w:ascii="仿宋" w:eastAsia="仿宋" w:hAnsi="仿宋" w:cs="方正仿宋_GBK" w:hint="eastAsia"/>
          <w:bCs/>
          <w:sz w:val="34"/>
          <w:szCs w:val="34"/>
        </w:rPr>
        <w:t>购房者合法权益，制定施行《梅河口市商品房预售资金监督管理办法实施细则》（以下简称细则）</w:t>
      </w:r>
      <w:r w:rsidR="002F3974">
        <w:rPr>
          <w:rFonts w:ascii="仿宋" w:eastAsia="仿宋" w:hAnsi="仿宋" w:cs="方正仿宋_GBK" w:hint="eastAsia"/>
          <w:bCs/>
          <w:sz w:val="34"/>
          <w:szCs w:val="34"/>
        </w:rPr>
        <w:t>，</w:t>
      </w:r>
      <w:r>
        <w:rPr>
          <w:rFonts w:ascii="仿宋" w:eastAsia="仿宋" w:hAnsi="仿宋" w:cs="方正仿宋_GBK" w:hint="eastAsia"/>
          <w:bCs/>
          <w:sz w:val="34"/>
          <w:szCs w:val="34"/>
        </w:rPr>
        <w:t>控制风险，坚决遏制新的问题发生。</w:t>
      </w:r>
    </w:p>
    <w:p w:rsidR="00614BB3" w:rsidRDefault="00A95D6B">
      <w:pPr>
        <w:ind w:firstLineChars="200" w:firstLine="680"/>
        <w:rPr>
          <w:rFonts w:ascii="仿宋" w:eastAsia="仿宋" w:hAnsi="仿宋" w:cs="方正仿宋_GBK"/>
          <w:bCs/>
          <w:sz w:val="34"/>
          <w:szCs w:val="34"/>
        </w:rPr>
      </w:pPr>
      <w:r>
        <w:rPr>
          <w:rFonts w:ascii="仿宋" w:eastAsia="仿宋" w:hAnsi="仿宋" w:cs="方正仿宋_GBK" w:hint="eastAsia"/>
          <w:bCs/>
          <w:sz w:val="34"/>
          <w:szCs w:val="34"/>
        </w:rPr>
        <w:t>（二）开展资金监管可有效地规范房地产开发企业销售行为，可保护购房人合法权益营造良好市场环境。商品房预售资金监管，遵循“专户专存、专款专用、全程监管、节点控制”的原则。规范房地产市场秩序，保障房地产交易安全。切实维护人民群众合法权益，促进房地产市场健康有序发展。</w:t>
      </w:r>
    </w:p>
    <w:p w:rsidR="00614BB3" w:rsidRDefault="00A95D6B">
      <w:pPr>
        <w:ind w:firstLineChars="200" w:firstLine="680"/>
        <w:rPr>
          <w:rFonts w:ascii="仿宋" w:eastAsia="仿宋" w:hAnsi="仿宋" w:cs="方正仿宋_GBK"/>
          <w:bCs/>
          <w:sz w:val="34"/>
          <w:szCs w:val="34"/>
        </w:rPr>
      </w:pPr>
      <w:r>
        <w:rPr>
          <w:rFonts w:ascii="黑体" w:eastAsia="黑体" w:hAnsi="黑体" w:cs="黑体" w:hint="eastAsia"/>
          <w:bCs/>
          <w:sz w:val="34"/>
          <w:szCs w:val="34"/>
        </w:rPr>
        <w:t>二、开展商品房预售资金监督管理业务的依据</w:t>
      </w:r>
    </w:p>
    <w:p w:rsidR="00A17DFE" w:rsidRDefault="00A95D6B" w:rsidP="00A17DFE">
      <w:pPr>
        <w:ind w:firstLineChars="200" w:firstLine="680"/>
        <w:rPr>
          <w:rFonts w:ascii="方正小标宋_GBK" w:eastAsia="方正小标宋_GBK" w:hAnsi="方正小标宋_GBK" w:cs="方正小标宋_GBK"/>
          <w:bCs/>
          <w:sz w:val="44"/>
          <w:szCs w:val="44"/>
        </w:rPr>
      </w:pPr>
      <w:r>
        <w:rPr>
          <w:rFonts w:ascii="仿宋" w:eastAsia="仿宋" w:hAnsi="仿宋" w:hint="eastAsia"/>
          <w:bCs/>
          <w:sz w:val="34"/>
          <w:szCs w:val="34"/>
        </w:rPr>
        <w:t>（一）按照《中华人民共和国城市房地产管理法》第四十五条规定：“商品房预售所得款项，必须用于有关的工程建设”。</w:t>
      </w:r>
      <w:r w:rsidR="00A17DFE">
        <w:rPr>
          <w:rFonts w:ascii="仿宋" w:eastAsia="仿宋" w:hAnsi="仿宋" w:hint="eastAsia"/>
          <w:bCs/>
          <w:sz w:val="34"/>
          <w:szCs w:val="34"/>
        </w:rPr>
        <w:t xml:space="preserve">      </w:t>
      </w:r>
    </w:p>
    <w:p w:rsidR="00A17DFE" w:rsidRDefault="00A17DFE" w:rsidP="00A17DFE">
      <w:pPr>
        <w:ind w:firstLineChars="150" w:firstLine="510"/>
        <w:rPr>
          <w:rFonts w:ascii="仿宋" w:eastAsia="仿宋" w:hAnsi="仿宋"/>
          <w:bCs/>
          <w:sz w:val="34"/>
          <w:szCs w:val="34"/>
        </w:rPr>
      </w:pPr>
      <w:r>
        <w:rPr>
          <w:rFonts w:ascii="仿宋" w:eastAsia="仿宋" w:hAnsi="仿宋" w:hint="eastAsia"/>
          <w:bCs/>
          <w:sz w:val="34"/>
          <w:szCs w:val="34"/>
        </w:rPr>
        <w:t>（二）《城市商品房预售管理办法》（建设部令第131号，第</w:t>
      </w:r>
      <w:r>
        <w:rPr>
          <w:rFonts w:ascii="仿宋" w:eastAsia="仿宋" w:hAnsi="仿宋" w:hint="eastAsia"/>
          <w:bCs/>
          <w:sz w:val="34"/>
          <w:szCs w:val="34"/>
        </w:rPr>
        <w:lastRenderedPageBreak/>
        <w:t>四条规定：市、县人民政府建设行政主管部门或房地产行政主管部门（以下简称房地产主管部门）负责本行政区域内城市商品房预售管理。第十一条规定：“开发企业预售商品房所得款项应当用于有关工程建设。商品房预售款监管的具体办法，由房地产管理部门制定”。 （三）《住房和城乡建设部关于进一步加强房地产市场监管完善商品住房预售制度有关问题的通知》（建房</w:t>
      </w:r>
      <w:r>
        <w:rPr>
          <w:rFonts w:ascii="仿宋" w:eastAsia="仿宋" w:hAnsi="仿宋" w:cs="仿宋" w:hint="eastAsia"/>
          <w:bCs/>
          <w:sz w:val="34"/>
          <w:szCs w:val="34"/>
        </w:rPr>
        <w:t>〔</w:t>
      </w:r>
      <w:r>
        <w:rPr>
          <w:rFonts w:ascii="仿宋" w:eastAsia="仿宋" w:hAnsi="仿宋" w:hint="eastAsia"/>
          <w:bCs/>
          <w:sz w:val="34"/>
          <w:szCs w:val="34"/>
        </w:rPr>
        <w:t>2010</w:t>
      </w:r>
      <w:r>
        <w:rPr>
          <w:rFonts w:ascii="仿宋" w:eastAsia="仿宋" w:hAnsi="仿宋" w:cs="仿宋" w:hint="eastAsia"/>
          <w:bCs/>
          <w:sz w:val="34"/>
          <w:szCs w:val="34"/>
        </w:rPr>
        <w:t>〕</w:t>
      </w:r>
      <w:r>
        <w:rPr>
          <w:rFonts w:ascii="仿宋" w:eastAsia="仿宋" w:hAnsi="仿宋" w:hint="eastAsia"/>
          <w:bCs/>
          <w:sz w:val="34"/>
          <w:szCs w:val="34"/>
        </w:rPr>
        <w:t>53号）：“完善预售资金监管机制。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四）《国务院办公厅关于继续做好房地产市场调控工作的通知》（国办发</w:t>
      </w:r>
      <w:r>
        <w:rPr>
          <w:rFonts w:ascii="仿宋" w:eastAsia="仿宋" w:hAnsi="仿宋" w:cs="仿宋" w:hint="eastAsia"/>
          <w:bCs/>
          <w:sz w:val="34"/>
          <w:szCs w:val="34"/>
        </w:rPr>
        <w:t>〔</w:t>
      </w:r>
      <w:r>
        <w:rPr>
          <w:rFonts w:ascii="仿宋" w:eastAsia="仿宋" w:hAnsi="仿宋" w:hint="eastAsia"/>
          <w:bCs/>
          <w:sz w:val="34"/>
          <w:szCs w:val="34"/>
        </w:rPr>
        <w:t>2013</w:t>
      </w:r>
      <w:r>
        <w:rPr>
          <w:rFonts w:ascii="仿宋" w:eastAsia="仿宋" w:hAnsi="仿宋" w:cs="仿宋" w:hint="eastAsia"/>
          <w:bCs/>
          <w:sz w:val="34"/>
          <w:szCs w:val="34"/>
        </w:rPr>
        <w:t>〕</w:t>
      </w:r>
      <w:r>
        <w:rPr>
          <w:rFonts w:ascii="仿宋" w:eastAsia="仿宋" w:hAnsi="仿宋" w:hint="eastAsia"/>
          <w:bCs/>
          <w:sz w:val="34"/>
          <w:szCs w:val="34"/>
        </w:rPr>
        <w:t>17 号）：“各地区要切实强化预售资金管理，完善监管制度。尚未实行预售资金监管的地区，要加快制定本地区商品房预售资金监管办法。（五）《住房和城乡建设部 人民银行 银保监会 关于规范商品房预售资金监管的意见》（建房〔2022〕16号）：“加强交易资金监管。</w:t>
      </w:r>
    </w:p>
    <w:p w:rsid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r>
        <w:rPr>
          <w:rFonts w:ascii="黑体" w:eastAsia="黑体" w:hAnsi="黑体" w:cs="黑体" w:hint="eastAsia"/>
          <w:bCs/>
          <w:kern w:val="2"/>
          <w:sz w:val="34"/>
          <w:szCs w:val="34"/>
        </w:rPr>
        <w:t>三、重点内容解读</w:t>
      </w:r>
    </w:p>
    <w:p w:rsidR="00A17DFE" w:rsidRP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r w:rsidRPr="00A17DFE">
        <w:rPr>
          <w:rFonts w:ascii="仿宋" w:eastAsia="仿宋" w:hAnsi="仿宋" w:cstheme="minorBidi" w:hint="eastAsia"/>
          <w:bCs/>
          <w:kern w:val="2"/>
          <w:sz w:val="34"/>
          <w:szCs w:val="34"/>
        </w:rPr>
        <w:t>《细则》重点内容解读如下：</w:t>
      </w:r>
    </w:p>
    <w:p w:rsidR="00A17DFE" w:rsidRP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r w:rsidRPr="00A17DFE">
        <w:rPr>
          <w:rFonts w:ascii="仿宋" w:eastAsia="仿宋" w:hAnsi="仿宋" w:cstheme="minorBidi" w:hint="eastAsia"/>
          <w:bCs/>
          <w:kern w:val="2"/>
          <w:sz w:val="34"/>
          <w:szCs w:val="34"/>
        </w:rPr>
        <w:t>（一）预售资金全程全额监管。全程监管是指从预售商品房取得预售许可开始，至房地产开发项目完成不动产首次登记后终止。全额监管是指购房人按照商品房买卖合同约定应支付的全部</w:t>
      </w:r>
      <w:r w:rsidRPr="00A17DFE">
        <w:rPr>
          <w:rFonts w:ascii="仿宋" w:eastAsia="仿宋" w:hAnsi="仿宋" w:cstheme="minorBidi" w:hint="eastAsia"/>
          <w:bCs/>
          <w:kern w:val="2"/>
          <w:sz w:val="34"/>
          <w:szCs w:val="34"/>
        </w:rPr>
        <w:lastRenderedPageBreak/>
        <w:t>购房款，包括定金、首付款、分期付款、一次性付款和银行按揭贷款、住房公积金贷款以及其他形式的购房款，全部进入监管账户，纳入统一监管。</w:t>
      </w:r>
    </w:p>
    <w:p w:rsidR="00A17DFE" w:rsidRP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r w:rsidRPr="00A17DFE">
        <w:rPr>
          <w:rFonts w:ascii="仿宋" w:eastAsia="仿宋" w:hAnsi="仿宋" w:cstheme="minorBidi" w:hint="eastAsia"/>
          <w:bCs/>
          <w:kern w:val="2"/>
          <w:sz w:val="34"/>
          <w:szCs w:val="34"/>
        </w:rPr>
        <w:t>（二）监管银行选取和账户设立。县（市）住房和城乡建设部门牵头通过公开招标方式确定监管银行并予以公示，实行动态管理。房地产开发企业按照一次预售许可申请对应一个账户的原则，开设预售资金监管账户。</w:t>
      </w:r>
    </w:p>
    <w:p w:rsidR="00A17DFE" w:rsidRDefault="00A17DFE" w:rsidP="00A17DFE">
      <w:pPr>
        <w:ind w:firstLineChars="200" w:firstLine="680"/>
        <w:rPr>
          <w:rFonts w:ascii="仿宋" w:eastAsia="仿宋" w:hAnsi="仿宋"/>
          <w:bCs/>
          <w:sz w:val="34"/>
          <w:szCs w:val="34"/>
        </w:rPr>
      </w:pPr>
      <w:r w:rsidRPr="00A17DFE">
        <w:rPr>
          <w:rFonts w:ascii="仿宋" w:eastAsia="仿宋" w:hAnsi="仿宋" w:hint="eastAsia"/>
          <w:bCs/>
          <w:sz w:val="34"/>
          <w:szCs w:val="34"/>
        </w:rPr>
        <w:t>（三）明确预售资金监管额度。监管额度是监管账户中确保项目竣工交付所需的资金额度，</w:t>
      </w:r>
      <w:r>
        <w:rPr>
          <w:rFonts w:ascii="仿宋" w:eastAsia="仿宋" w:hAnsi="仿宋" w:hint="eastAsia"/>
          <w:color w:val="000000" w:themeColor="text1"/>
          <w:kern w:val="0"/>
          <w:sz w:val="36"/>
          <w:szCs w:val="36"/>
        </w:rPr>
        <w:t>预售资金监管额度共分五个节点，分别为：预售资金初始监管额度应留存项目备案总金额的30%；达到工程一半时，监管额度应留存项目备案总金额的15%；封顶时，监管额度应留存项目备案总金额的9%；竣工验收时，监管额度应留存项目备案总金额的3%；</w:t>
      </w:r>
      <w:r w:rsidRPr="00E601D3">
        <w:rPr>
          <w:rFonts w:ascii="仿宋" w:eastAsia="仿宋" w:hAnsi="仿宋" w:hint="eastAsia"/>
          <w:color w:val="000000" w:themeColor="text1"/>
          <w:kern w:val="0"/>
          <w:sz w:val="36"/>
          <w:szCs w:val="36"/>
        </w:rPr>
        <w:t>完成不动产首次登记，予以全额返还商品房预售监管剩余资金和利息。</w:t>
      </w:r>
      <w:r>
        <w:rPr>
          <w:rFonts w:ascii="仿宋" w:eastAsia="仿宋" w:hAnsi="仿宋" w:hint="eastAsia"/>
          <w:color w:val="000000" w:themeColor="text1"/>
          <w:kern w:val="0"/>
          <w:sz w:val="36"/>
          <w:szCs w:val="36"/>
        </w:rPr>
        <w:t>监管账户内的资金达到监管额度后，超出监管额度的资金可由房地产开发企业提取使用。</w:t>
      </w:r>
    </w:p>
    <w:p w:rsidR="00A17DFE" w:rsidRPr="00A17DFE" w:rsidRDefault="00A17DFE" w:rsidP="00A17DFE">
      <w:pPr>
        <w:ind w:firstLineChars="150" w:firstLine="540"/>
        <w:rPr>
          <w:rFonts w:ascii="仿宋" w:eastAsia="仿宋" w:hAnsi="仿宋"/>
          <w:color w:val="000000" w:themeColor="text1"/>
          <w:kern w:val="0"/>
          <w:sz w:val="36"/>
          <w:szCs w:val="36"/>
        </w:rPr>
      </w:pPr>
      <w:r w:rsidRPr="00A17DFE">
        <w:rPr>
          <w:rFonts w:ascii="仿宋" w:eastAsia="仿宋" w:hAnsi="仿宋" w:hint="eastAsia"/>
          <w:color w:val="000000" w:themeColor="text1"/>
          <w:kern w:val="0"/>
          <w:sz w:val="36"/>
          <w:szCs w:val="36"/>
        </w:rPr>
        <w:t>（四）项目完成不动产首次登记的，解除预售资金监管。</w:t>
      </w:r>
    </w:p>
    <w:p w:rsidR="00A17DFE" w:rsidRPr="00611FE6" w:rsidRDefault="00A17DFE" w:rsidP="00A17DFE">
      <w:pPr>
        <w:ind w:firstLineChars="150" w:firstLine="540"/>
        <w:rPr>
          <w:rFonts w:ascii="仿宋" w:eastAsia="仿宋" w:hAnsi="仿宋"/>
          <w:color w:val="000000" w:themeColor="text1"/>
          <w:kern w:val="0"/>
          <w:sz w:val="36"/>
          <w:szCs w:val="36"/>
        </w:rPr>
      </w:pPr>
      <w:r w:rsidRPr="00A17DFE">
        <w:rPr>
          <w:rFonts w:ascii="仿宋" w:eastAsia="仿宋" w:hAnsi="仿宋" w:hint="eastAsia"/>
          <w:color w:val="000000" w:themeColor="text1"/>
          <w:kern w:val="0"/>
          <w:sz w:val="36"/>
          <w:szCs w:val="36"/>
        </w:rPr>
        <w:t>（五）强化各方职责。</w:t>
      </w:r>
      <w:r w:rsidRPr="00611FE6">
        <w:rPr>
          <w:rFonts w:ascii="仿宋" w:eastAsia="仿宋" w:hAnsi="仿宋" w:hint="eastAsia"/>
          <w:color w:val="000000" w:themeColor="text1"/>
          <w:kern w:val="0"/>
          <w:sz w:val="36"/>
          <w:szCs w:val="36"/>
        </w:rPr>
        <w:t>监管部门、监管银行、开发企业违反本细则相关规定的，依据相关法律法规处理。</w:t>
      </w:r>
    </w:p>
    <w:p w:rsid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r>
        <w:rPr>
          <w:rFonts w:ascii="黑体" w:eastAsia="黑体" w:hAnsi="黑体" w:cs="黑体" w:hint="eastAsia"/>
          <w:bCs/>
          <w:kern w:val="2"/>
          <w:sz w:val="34"/>
          <w:szCs w:val="34"/>
        </w:rPr>
        <w:t>四、实施时间</w:t>
      </w:r>
      <w:bookmarkStart w:id="0" w:name="_GoBack"/>
      <w:bookmarkEnd w:id="0"/>
    </w:p>
    <w:p w:rsidR="00A17DFE" w:rsidRDefault="00A17DFE" w:rsidP="00A17DFE">
      <w:pPr>
        <w:widowControl/>
        <w:ind w:firstLineChars="200" w:firstLine="680"/>
        <w:jc w:val="left"/>
        <w:rPr>
          <w:rFonts w:ascii="仿宋" w:eastAsia="仿宋" w:hAnsi="仿宋" w:cs="仿宋"/>
          <w:sz w:val="34"/>
          <w:szCs w:val="34"/>
        </w:rPr>
      </w:pPr>
      <w:r>
        <w:rPr>
          <w:rFonts w:ascii="仿宋" w:eastAsia="仿宋" w:hAnsi="仿宋" w:cs="仿宋" w:hint="eastAsia"/>
          <w:kern w:val="0"/>
          <w:sz w:val="34"/>
          <w:szCs w:val="34"/>
        </w:rPr>
        <w:t>《细则》自颁布之日起实施，在执行过程中若遇国家、省新出台相关政策，则以国家、省最新政策为准。</w:t>
      </w:r>
    </w:p>
    <w:p w:rsid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仿宋"/>
          <w:bCs/>
          <w:kern w:val="2"/>
          <w:sz w:val="34"/>
          <w:szCs w:val="34"/>
        </w:rPr>
      </w:pPr>
    </w:p>
    <w:p w:rsidR="00A17DFE" w:rsidRDefault="00A17DFE" w:rsidP="00A17DFE">
      <w:pPr>
        <w:pStyle w:val="a3"/>
        <w:widowControl/>
        <w:spacing w:before="15" w:beforeAutospacing="0" w:after="15" w:afterAutospacing="0" w:line="420" w:lineRule="atLeast"/>
        <w:ind w:firstLineChars="200" w:firstLine="680"/>
        <w:jc w:val="both"/>
        <w:rPr>
          <w:rFonts w:ascii="仿宋" w:eastAsia="仿宋" w:hAnsi="仿宋" w:cstheme="minorBidi"/>
          <w:bCs/>
          <w:kern w:val="2"/>
          <w:sz w:val="34"/>
          <w:szCs w:val="34"/>
        </w:rPr>
      </w:pPr>
    </w:p>
    <w:p w:rsidR="00A17DFE" w:rsidRDefault="00A17DFE" w:rsidP="00A17DFE">
      <w:pPr>
        <w:ind w:firstLineChars="200" w:firstLine="680"/>
        <w:rPr>
          <w:rFonts w:ascii="仿宋" w:eastAsia="仿宋" w:hAnsi="仿宋"/>
          <w:bCs/>
          <w:sz w:val="34"/>
          <w:szCs w:val="34"/>
        </w:rPr>
      </w:pPr>
    </w:p>
    <w:p w:rsidR="00A17DFE" w:rsidRDefault="00A17DFE" w:rsidP="00A17DFE">
      <w:pPr>
        <w:ind w:firstLineChars="200" w:firstLine="680"/>
        <w:rPr>
          <w:rFonts w:ascii="仿宋" w:eastAsia="仿宋" w:hAnsi="仿宋"/>
          <w:bCs/>
          <w:sz w:val="34"/>
          <w:szCs w:val="34"/>
        </w:rPr>
      </w:pPr>
    </w:p>
    <w:p w:rsidR="00A17DFE" w:rsidRDefault="00A17DFE" w:rsidP="00A17DFE">
      <w:pPr>
        <w:wordWrap w:val="0"/>
        <w:ind w:firstLineChars="200" w:firstLine="680"/>
        <w:jc w:val="right"/>
        <w:rPr>
          <w:rFonts w:ascii="仿宋" w:eastAsia="仿宋" w:hAnsi="仿宋"/>
          <w:bCs/>
          <w:sz w:val="34"/>
          <w:szCs w:val="34"/>
        </w:rPr>
      </w:pPr>
      <w:r>
        <w:rPr>
          <w:rFonts w:ascii="仿宋" w:eastAsia="仿宋" w:hAnsi="仿宋" w:hint="eastAsia"/>
          <w:bCs/>
          <w:sz w:val="34"/>
          <w:szCs w:val="34"/>
        </w:rPr>
        <w:t>梅河口市住房和城乡建设局</w:t>
      </w:r>
    </w:p>
    <w:p w:rsidR="00A17DFE" w:rsidRDefault="00A17DFE" w:rsidP="00A17DFE">
      <w:pPr>
        <w:tabs>
          <w:tab w:val="left" w:pos="801"/>
          <w:tab w:val="right" w:pos="9638"/>
        </w:tabs>
        <w:wordWrap w:val="0"/>
        <w:jc w:val="left"/>
        <w:rPr>
          <w:rFonts w:ascii="方正小标宋_GBK" w:eastAsia="方正小标宋_GBK" w:hAnsi="方正小标宋_GBK" w:cs="方正小标宋_GBK"/>
          <w:bCs/>
          <w:sz w:val="44"/>
          <w:szCs w:val="44"/>
        </w:rPr>
      </w:pPr>
      <w:r>
        <w:rPr>
          <w:rFonts w:ascii="仿宋" w:eastAsia="仿宋" w:hAnsi="仿宋"/>
          <w:bCs/>
          <w:sz w:val="34"/>
          <w:szCs w:val="34"/>
        </w:rPr>
        <w:tab/>
      </w:r>
      <w:r>
        <w:rPr>
          <w:rFonts w:ascii="仿宋" w:eastAsia="仿宋" w:hAnsi="仿宋" w:hint="eastAsia"/>
          <w:bCs/>
          <w:sz w:val="34"/>
          <w:szCs w:val="34"/>
        </w:rPr>
        <w:t xml:space="preserve"> </w:t>
      </w:r>
    </w:p>
    <w:p w:rsidR="00A17DFE" w:rsidRDefault="00A17DFE" w:rsidP="00A17DFE">
      <w:pPr>
        <w:wordWrap w:val="0"/>
        <w:ind w:right="510"/>
        <w:jc w:val="right"/>
        <w:rPr>
          <w:rFonts w:ascii="方正小标宋_GBK" w:eastAsia="方正小标宋_GBK" w:hAnsi="方正小标宋_GBK" w:cs="方正小标宋_GBK"/>
          <w:bCs/>
          <w:sz w:val="44"/>
          <w:szCs w:val="44"/>
        </w:rPr>
      </w:pPr>
      <w:r>
        <w:rPr>
          <w:rFonts w:ascii="仿宋" w:eastAsia="仿宋" w:hAnsi="仿宋" w:hint="eastAsia"/>
          <w:bCs/>
          <w:sz w:val="34"/>
          <w:szCs w:val="34"/>
        </w:rPr>
        <w:t xml:space="preserve">2024年9月9日  </w:t>
      </w:r>
    </w:p>
    <w:p w:rsidR="00A17DFE" w:rsidRDefault="00A17DFE" w:rsidP="00A17DFE">
      <w:pPr>
        <w:pStyle w:val="a3"/>
        <w:widowControl/>
        <w:tabs>
          <w:tab w:val="left" w:pos="6035"/>
        </w:tabs>
        <w:spacing w:before="15" w:beforeAutospacing="0" w:after="15" w:afterAutospacing="0" w:line="420" w:lineRule="atLeast"/>
        <w:ind w:firstLineChars="200" w:firstLine="683"/>
        <w:jc w:val="both"/>
        <w:rPr>
          <w:rFonts w:ascii="仿宋" w:eastAsia="仿宋" w:hAnsi="仿宋" w:cstheme="minorBidi"/>
          <w:b/>
          <w:kern w:val="2"/>
          <w:sz w:val="34"/>
          <w:szCs w:val="34"/>
        </w:rPr>
      </w:pPr>
    </w:p>
    <w:p w:rsidR="00A17DFE" w:rsidRDefault="00A17DFE" w:rsidP="00A17DFE">
      <w:pPr>
        <w:tabs>
          <w:tab w:val="left" w:pos="801"/>
          <w:tab w:val="right" w:pos="9638"/>
        </w:tabs>
        <w:wordWrap w:val="0"/>
        <w:jc w:val="left"/>
        <w:rPr>
          <w:rFonts w:ascii="方正小标宋_GBK" w:eastAsia="方正小标宋_GBK" w:hAnsi="方正小标宋_GBK" w:cs="方正小标宋_GBK"/>
          <w:bCs/>
          <w:sz w:val="44"/>
          <w:szCs w:val="44"/>
        </w:rPr>
      </w:pPr>
      <w:r>
        <w:rPr>
          <w:rFonts w:ascii="仿宋" w:eastAsia="仿宋" w:hAnsi="仿宋" w:hint="eastAsia"/>
          <w:bCs/>
          <w:sz w:val="34"/>
          <w:szCs w:val="34"/>
        </w:rPr>
        <w:t xml:space="preserve"> </w:t>
      </w:r>
    </w:p>
    <w:p w:rsidR="00614BB3" w:rsidRDefault="00614BB3" w:rsidP="00A17DFE">
      <w:pPr>
        <w:tabs>
          <w:tab w:val="left" w:pos="927"/>
        </w:tabs>
        <w:wordWrap w:val="0"/>
        <w:jc w:val="left"/>
        <w:rPr>
          <w:rFonts w:ascii="方正小标宋_GBK" w:eastAsia="方正小标宋_GBK" w:hAnsi="方正小标宋_GBK" w:cs="方正小标宋_GBK"/>
          <w:bCs/>
          <w:sz w:val="44"/>
          <w:szCs w:val="44"/>
        </w:rPr>
      </w:pPr>
    </w:p>
    <w:sectPr w:rsidR="00614BB3" w:rsidSect="00614BB3">
      <w:pgSz w:w="11906" w:h="16838"/>
      <w:pgMar w:top="170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9B" w:rsidRDefault="0018049B" w:rsidP="00B2596D">
      <w:r>
        <w:separator/>
      </w:r>
    </w:p>
  </w:endnote>
  <w:endnote w:type="continuationSeparator" w:id="0">
    <w:p w:rsidR="0018049B" w:rsidRDefault="0018049B" w:rsidP="00B2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9B" w:rsidRDefault="0018049B" w:rsidP="00B2596D">
      <w:r>
        <w:separator/>
      </w:r>
    </w:p>
  </w:footnote>
  <w:footnote w:type="continuationSeparator" w:id="0">
    <w:p w:rsidR="0018049B" w:rsidRDefault="0018049B" w:rsidP="00B25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U5MzNmMDA2MDQyMmRjYjUyODlkMTAxY2Q3NDUyNzQifQ=="/>
  </w:docVars>
  <w:rsids>
    <w:rsidRoot w:val="00614BB3"/>
    <w:rsid w:val="0018049B"/>
    <w:rsid w:val="002D2DF4"/>
    <w:rsid w:val="002F3974"/>
    <w:rsid w:val="00614BB3"/>
    <w:rsid w:val="00A17DFE"/>
    <w:rsid w:val="00A95D6B"/>
    <w:rsid w:val="00B2596D"/>
    <w:rsid w:val="00E51F33"/>
    <w:rsid w:val="00EB41FA"/>
    <w:rsid w:val="65811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BB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4BB3"/>
    <w:pPr>
      <w:spacing w:beforeAutospacing="1" w:afterAutospacing="1"/>
      <w:jc w:val="left"/>
    </w:pPr>
    <w:rPr>
      <w:rFonts w:cs="Times New Roman"/>
      <w:kern w:val="0"/>
      <w:sz w:val="24"/>
    </w:rPr>
  </w:style>
  <w:style w:type="character" w:styleId="a4">
    <w:name w:val="Strong"/>
    <w:basedOn w:val="a0"/>
    <w:qFormat/>
    <w:rsid w:val="00614BB3"/>
    <w:rPr>
      <w:b/>
    </w:rPr>
  </w:style>
  <w:style w:type="paragraph" w:styleId="a5">
    <w:name w:val="header"/>
    <w:basedOn w:val="a"/>
    <w:link w:val="Char"/>
    <w:rsid w:val="00B25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596D"/>
    <w:rPr>
      <w:rFonts w:asciiTheme="minorHAnsi" w:eastAsiaTheme="minorEastAsia" w:hAnsiTheme="minorHAnsi" w:cstheme="minorBidi"/>
      <w:kern w:val="2"/>
      <w:sz w:val="18"/>
      <w:szCs w:val="18"/>
    </w:rPr>
  </w:style>
  <w:style w:type="paragraph" w:styleId="a6">
    <w:name w:val="footer"/>
    <w:basedOn w:val="a"/>
    <w:link w:val="Char0"/>
    <w:rsid w:val="00B2596D"/>
    <w:pPr>
      <w:tabs>
        <w:tab w:val="center" w:pos="4153"/>
        <w:tab w:val="right" w:pos="8306"/>
      </w:tabs>
      <w:snapToGrid w:val="0"/>
      <w:jc w:val="left"/>
    </w:pPr>
    <w:rPr>
      <w:sz w:val="18"/>
      <w:szCs w:val="18"/>
    </w:rPr>
  </w:style>
  <w:style w:type="character" w:customStyle="1" w:styleId="Char0">
    <w:name w:val="页脚 Char"/>
    <w:basedOn w:val="a0"/>
    <w:link w:val="a6"/>
    <w:rsid w:val="00B259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2024-12-10T01:26:00Z</dcterms:created>
  <dcterms:modified xsi:type="dcterms:W3CDTF">2024-12-10T01:26:00Z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3E625AFAEC8B499787B10820F3E0A163_12</vt:lpwstr>
  </property>
</Properties>
</file>