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DF6E61">
      <w:pPr>
        <w:keepNext w:val="0"/>
        <w:keepLines w:val="0"/>
        <w:pageBreakBefore w:val="0"/>
        <w:kinsoku/>
        <w:wordWrap/>
        <w:overflowPunct w:val="0"/>
        <w:topLinePunct w:val="0"/>
        <w:autoSpaceDE/>
        <w:autoSpaceDN/>
        <w:bidi w:val="0"/>
        <w:adjustRightInd/>
        <w:snapToGrid/>
        <w:spacing w:line="240" w:lineRule="auto"/>
        <w:jc w:val="both"/>
        <w:textAlignment w:val="auto"/>
        <w:rPr>
          <w:rFonts w:hint="eastAsia" w:ascii="方正小标宋简体" w:hAnsi="方正小标宋简体" w:eastAsia="方正小标宋简体" w:cs="方正小标宋简体"/>
          <w:b w:val="0"/>
          <w:bCs w:val="0"/>
          <w:color w:val="FF0000"/>
          <w:spacing w:val="40"/>
          <w:w w:val="33"/>
          <w:kern w:val="96"/>
          <w:position w:val="-16"/>
          <w:sz w:val="20"/>
          <w:szCs w:val="20"/>
          <w:lang w:val="en-US" w:eastAsia="zh-CN"/>
        </w:rPr>
      </w:pPr>
    </w:p>
    <w:p w14:paraId="205A2053">
      <w:pPr>
        <w:keepNext w:val="0"/>
        <w:keepLines w:val="0"/>
        <w:pageBreakBefore w:val="0"/>
        <w:kinsoku/>
        <w:wordWrap/>
        <w:overflowPunct w:val="0"/>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b w:val="0"/>
          <w:bCs w:val="0"/>
          <w:color w:val="FF0000"/>
          <w:spacing w:val="40"/>
          <w:w w:val="33"/>
          <w:kern w:val="96"/>
          <w:position w:val="-16"/>
          <w:sz w:val="32"/>
          <w:szCs w:val="32"/>
          <w:lang w:val="en-US" w:eastAsia="zh-CN"/>
        </w:rPr>
      </w:pPr>
      <w:r>
        <w:rPr>
          <w:rFonts w:hint="eastAsia" w:ascii="方正小标宋简体" w:hAnsi="方正小标宋简体" w:eastAsia="方正小标宋简体" w:cs="方正小标宋简体"/>
          <w:b w:val="0"/>
          <w:bCs w:val="0"/>
          <w:color w:val="FF0000"/>
          <w:spacing w:val="40"/>
          <w:w w:val="33"/>
          <w:kern w:val="96"/>
          <w:position w:val="-16"/>
          <w:sz w:val="120"/>
          <w:szCs w:val="120"/>
          <w:lang w:val="en-US" w:eastAsia="zh-CN"/>
        </w:rPr>
        <w:t>梅河新区（</w:t>
      </w:r>
      <w:r>
        <w:rPr>
          <w:rFonts w:hint="eastAsia" w:ascii="方正小标宋简体" w:hAnsi="方正小标宋简体" w:eastAsia="方正小标宋简体" w:cs="方正小标宋简体"/>
          <w:b w:val="0"/>
          <w:bCs w:val="0"/>
          <w:color w:val="FF0000"/>
          <w:spacing w:val="40"/>
          <w:w w:val="33"/>
          <w:kern w:val="96"/>
          <w:position w:val="-16"/>
          <w:sz w:val="120"/>
          <w:szCs w:val="120"/>
        </w:rPr>
        <w:t>梅河口市</w:t>
      </w:r>
      <w:r>
        <w:rPr>
          <w:rFonts w:hint="eastAsia" w:ascii="方正小标宋简体" w:hAnsi="方正小标宋简体" w:eastAsia="方正小标宋简体" w:cs="方正小标宋简体"/>
          <w:b w:val="0"/>
          <w:bCs w:val="0"/>
          <w:color w:val="FF0000"/>
          <w:spacing w:val="40"/>
          <w:w w:val="33"/>
          <w:kern w:val="96"/>
          <w:position w:val="-16"/>
          <w:sz w:val="120"/>
          <w:szCs w:val="120"/>
          <w:lang w:val="en-US" w:eastAsia="zh-CN"/>
        </w:rPr>
        <w:t>）</w:t>
      </w:r>
      <w:r>
        <w:rPr>
          <w:rFonts w:hint="eastAsia" w:ascii="方正小标宋简体" w:hAnsi="方正小标宋简体" w:eastAsia="方正小标宋简体" w:cs="方正小标宋简体"/>
          <w:b w:val="0"/>
          <w:bCs w:val="0"/>
          <w:color w:val="FF0000"/>
          <w:spacing w:val="40"/>
          <w:w w:val="33"/>
          <w:kern w:val="96"/>
          <w:position w:val="-16"/>
          <w:sz w:val="120"/>
          <w:szCs w:val="120"/>
        </w:rPr>
        <w:t>安全生产委员会</w:t>
      </w:r>
      <w:r>
        <w:rPr>
          <w:rFonts w:hint="eastAsia" w:ascii="方正小标宋简体" w:hAnsi="方正小标宋简体" w:eastAsia="方正小标宋简体" w:cs="方正小标宋简体"/>
          <w:b w:val="0"/>
          <w:bCs w:val="0"/>
          <w:color w:val="FF0000"/>
          <w:spacing w:val="40"/>
          <w:w w:val="33"/>
          <w:kern w:val="96"/>
          <w:position w:val="-16"/>
          <w:sz w:val="120"/>
          <w:szCs w:val="120"/>
          <w:lang w:val="en-US" w:eastAsia="zh-CN"/>
        </w:rPr>
        <w:t>办公室</w:t>
      </w:r>
    </w:p>
    <w:p w14:paraId="3117445C">
      <w:pPr>
        <w:keepNext w:val="0"/>
        <w:keepLines w:val="0"/>
        <w:pageBreakBefore w:val="0"/>
        <w:kinsoku/>
        <w:wordWrap/>
        <w:overflowPunct w:val="0"/>
        <w:topLinePunct w:val="0"/>
        <w:autoSpaceDE/>
        <w:autoSpaceDN/>
        <w:bidi w:val="0"/>
        <w:adjustRightInd/>
        <w:snapToGrid/>
        <w:spacing w:line="240" w:lineRule="auto"/>
        <w:jc w:val="center"/>
        <w:textAlignment w:val="auto"/>
        <w:rPr>
          <w:rFonts w:hint="eastAsia" w:ascii="方正小标宋_GBK" w:hAnsi="方正小标宋_GBK" w:eastAsia="方正小标宋_GBK" w:cs="方正小标宋_GBK"/>
          <w:sz w:val="32"/>
          <w:szCs w:val="32"/>
        </w:rPr>
      </w:pPr>
      <w:r>
        <w:rPr>
          <w:rFonts w:hint="default" w:ascii="Times New Roman" w:hAnsi="Times New Roman" w:eastAsia="仿宋_GB2312" w:cs="Times New Roman"/>
          <w:color w:val="000000"/>
          <w:kern w:val="0"/>
          <w:sz w:val="32"/>
          <w:szCs w:val="32"/>
          <w:lang w:val="en-US" w:eastAsia="zh-CN"/>
        </w:rPr>
        <w:t>梅安委办〔202</w:t>
      </w:r>
      <w:r>
        <w:rPr>
          <w:rFonts w:hint="eastAsia" w:ascii="Times New Roman" w:hAnsi="Times New Roman" w:eastAsia="仿宋_GB2312" w:cs="Times New Roman"/>
          <w:color w:val="000000"/>
          <w:kern w:val="0"/>
          <w:sz w:val="32"/>
          <w:szCs w:val="32"/>
          <w:lang w:val="en-US" w:eastAsia="zh-CN"/>
        </w:rPr>
        <w:t>6</w:t>
      </w:r>
      <w:r>
        <w:rPr>
          <w:rFonts w:hint="default" w:ascii="Times New Roman" w:hAnsi="Times New Roman" w:eastAsia="仿宋_GB2312" w:cs="Times New Roman"/>
          <w:color w:val="000000"/>
          <w:kern w:val="0"/>
          <w:sz w:val="32"/>
          <w:szCs w:val="32"/>
          <w:lang w:val="en-US" w:eastAsia="zh-CN"/>
        </w:rPr>
        <w:t>〕</w:t>
      </w:r>
      <w:r>
        <w:rPr>
          <w:rFonts w:hint="eastAsia" w:ascii="Times New Roman" w:hAnsi="Times New Roman" w:eastAsia="仿宋_GB2312" w:cs="Times New Roman"/>
          <w:color w:val="000000"/>
          <w:kern w:val="0"/>
          <w:sz w:val="32"/>
          <w:szCs w:val="32"/>
          <w:lang w:val="en-US" w:eastAsia="zh-CN"/>
        </w:rPr>
        <w:t>26</w:t>
      </w:r>
      <w:r>
        <w:rPr>
          <w:rFonts w:hint="default" w:ascii="Times New Roman" w:hAnsi="Times New Roman" w:eastAsia="仿宋_GB2312" w:cs="Times New Roman"/>
          <w:color w:val="000000"/>
          <w:kern w:val="0"/>
          <w:sz w:val="32"/>
          <w:szCs w:val="32"/>
          <w:lang w:val="en-US" w:eastAsia="zh-CN"/>
        </w:rPr>
        <w:t>号</w:t>
      </w:r>
      <w:r>
        <w:rPr>
          <w:rFonts w:hint="eastAsia" w:ascii="Times New Roman" w:hAnsi="Times New Roman" w:eastAsia="仿宋_GB2312" w:cs="Times New Roman"/>
          <w:color w:val="000000"/>
          <w:kern w:val="0"/>
          <w:sz w:val="32"/>
          <w:szCs w:val="32"/>
          <w:lang w:val="en-US" w:eastAsia="zh-CN"/>
        </w:rPr>
        <w:t xml:space="preserve">                                            </w:t>
      </w:r>
    </w:p>
    <w:p w14:paraId="44429AE1">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hint="eastAsia" w:ascii="方正小标宋简体" w:hAnsi="宋体" w:eastAsia="方正小标宋简体" w:cs="宋体"/>
          <w:sz w:val="44"/>
          <w:szCs w:val="44"/>
        </w:rPr>
      </w:pPr>
      <w:r>
        <w:rPr>
          <w:rFonts w:ascii="仿宋_GB2312" w:hAnsi="宋体" w:eastAsia="仿宋_GB2312" w:cs="宋体"/>
          <w:color w:val="000000"/>
          <w:kern w:val="0"/>
          <w:sz w:val="32"/>
          <w:szCs w:val="32"/>
        </w:rPr>
        <w:pict>
          <v:rect id="_x0000_i1025" o:spt="1" style="height:1.5pt;width:600pt;" fillcolor="#FF0000" filled="t" stroked="f" coordsize="21600,21600" o:hr="t" o:hrstd="t" o:hrnoshade="t" o:hrpct="0">
            <v:path/>
            <v:fill on="t" focussize="0,0"/>
            <v:stroke on="f"/>
            <v:imagedata o:title=""/>
            <o:lock v:ext="edit"/>
            <w10:wrap type="none"/>
            <w10:anchorlock/>
          </v:rect>
        </w:pict>
      </w:r>
    </w:p>
    <w:p w14:paraId="4BBF2B2F">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eastAsia" w:ascii="方正小标宋简体" w:hAnsi="方正小标宋简体" w:eastAsia="方正小标宋简体" w:cs="方正小标宋简体"/>
          <w:sz w:val="44"/>
          <w:szCs w:val="44"/>
        </w:rPr>
      </w:pPr>
    </w:p>
    <w:p w14:paraId="36497C3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bookmarkStart w:id="0" w:name="_GoBack"/>
      <w:r>
        <w:rPr>
          <w:rFonts w:hint="eastAsia" w:ascii="方正小标宋简体" w:hAnsi="方正小标宋简体" w:eastAsia="方正小标宋简体" w:cs="方正小标宋简体"/>
          <w:b w:val="0"/>
          <w:bCs w:val="0"/>
          <w:sz w:val="44"/>
          <w:szCs w:val="44"/>
          <w:lang w:val="en-US" w:eastAsia="zh-CN"/>
        </w:rPr>
        <w:t>关于切实做好端午假期前后安全生产工作的通知</w:t>
      </w:r>
    </w:p>
    <w:bookmarkEnd w:id="0"/>
    <w:p w14:paraId="486FEC3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05295B9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市安委会各成员单位：</w:t>
      </w:r>
    </w:p>
    <w:p w14:paraId="5170FD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为深入贯彻落实省委、省政府关于安全生产工作的系列部署要求，切实抓好我市端午假期前后安全生产各项工作，坚决防范和遏制生产安全事故发生，现就有关事项通知如下：</w:t>
      </w:r>
    </w:p>
    <w:p w14:paraId="6C6B0F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黑体" w:hAnsi="黑体" w:eastAsia="黑体" w:cs="黑体"/>
          <w:sz w:val="32"/>
          <w:szCs w:val="32"/>
          <w:lang w:val="en-US" w:eastAsia="zh-CN"/>
        </w:rPr>
        <w:t>一、全面落实安全生产责任</w:t>
      </w:r>
    </w:p>
    <w:p w14:paraId="4E8973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端午假期期间，群众出行出游活动密集，各类工程项目建设进入高峰期，部分生产经营单位员工放假、换班轮休，现场作业不稳定，安全风险交织叠加，安全防范压力显著增大。据统计，近5年端午假期前后，全国共发生较大生产安全事故22起、重大生产安全事故1起，安全生产形势严峻，必须引起高度警觉。各部门、各单位要充分认清当前复杂严峻的安全生产形势，坚持问题导向，深入分析研判本辖区、本行业领域的安全风险，有针对性地部署防范措施，将责任压实到具体岗位、具体人员。要强化端午假期重点时段的警示提醒，紧盯重点领域、关键环节和突出问题，加大安全生产监管执法力度，加强行刑衔接，推动责任压力和从严监管氛围向基层和生产经营单位一线传导，严防漏管失控引发事故。</w:t>
      </w:r>
    </w:p>
    <w:p w14:paraId="14A494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黑体" w:hAnsi="黑体" w:eastAsia="黑体" w:cs="黑体"/>
          <w:sz w:val="32"/>
          <w:szCs w:val="32"/>
          <w:lang w:val="en-US" w:eastAsia="zh-CN"/>
        </w:rPr>
        <w:t>二、强化重点行业领域安全防范</w:t>
      </w:r>
    </w:p>
    <w:p w14:paraId="51FF94D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矿山方面，</w:t>
      </w:r>
      <w:r>
        <w:rPr>
          <w:rFonts w:hint="default" w:ascii="Times New Roman" w:hAnsi="Times New Roman" w:eastAsia="仿宋_GB2312" w:cs="Times New Roman"/>
          <w:sz w:val="32"/>
          <w:szCs w:val="32"/>
          <w:lang w:val="en-US" w:eastAsia="zh-CN"/>
        </w:rPr>
        <w:t>要全面检视矿山安全“八条硬措施”落实情况，坚决彻查隐蔽工作面。针对汛期易发生井下透水、巷道坍塌、顶板垮落等风险，对煤矿、非煤矿山、尾矿库开展全方位排查，严防暴雨洪水等自然灾害引发矿山事故。</w:t>
      </w:r>
      <w:r>
        <w:rPr>
          <w:rFonts w:hint="default" w:ascii="Times New Roman" w:hAnsi="Times New Roman" w:eastAsia="仿宋_GB2312" w:cs="Times New Roman"/>
          <w:b/>
          <w:bCs/>
          <w:sz w:val="32"/>
          <w:szCs w:val="32"/>
          <w:lang w:val="en-US" w:eastAsia="zh-CN"/>
        </w:rPr>
        <w:t>危化品方面，</w:t>
      </w:r>
      <w:r>
        <w:rPr>
          <w:rFonts w:hint="default" w:ascii="Times New Roman" w:hAnsi="Times New Roman" w:eastAsia="仿宋_GB2312" w:cs="Times New Roman"/>
          <w:sz w:val="32"/>
          <w:szCs w:val="32"/>
          <w:lang w:val="en-US" w:eastAsia="zh-CN"/>
        </w:rPr>
        <w:t>要严格动火作业提级管理，实施全过程视频监控，扎实推进危险化学品重大危险源企业隐患排查专项整治，严格落实高危细分领域安全风险管控措施。深入开展烟花爆竹全链条“打非治违”专项行动。</w:t>
      </w:r>
      <w:r>
        <w:rPr>
          <w:rFonts w:hint="default" w:ascii="Times New Roman" w:hAnsi="Times New Roman" w:eastAsia="仿宋_GB2312" w:cs="Times New Roman"/>
          <w:b/>
          <w:bCs/>
          <w:sz w:val="32"/>
          <w:szCs w:val="32"/>
          <w:lang w:val="en-US" w:eastAsia="zh-CN"/>
        </w:rPr>
        <w:t>工贸方面，</w:t>
      </w:r>
      <w:r>
        <w:rPr>
          <w:rFonts w:hint="default" w:ascii="Times New Roman" w:hAnsi="Times New Roman" w:eastAsia="仿宋_GB2312" w:cs="Times New Roman"/>
          <w:sz w:val="32"/>
          <w:szCs w:val="32"/>
          <w:lang w:val="en-US" w:eastAsia="zh-CN"/>
        </w:rPr>
        <w:t>要突出金属冶炼、粉尘涉爆等重点领域，紧盯有限空间等特殊作业，强化节日期间现场安全管理，严厉整治违规操作、安全管理制度形同虚设、日常巡检敷衍应付等突出问题。</w:t>
      </w:r>
      <w:r>
        <w:rPr>
          <w:rFonts w:hint="default" w:ascii="Times New Roman" w:hAnsi="Times New Roman" w:eastAsia="仿宋_GB2312" w:cs="Times New Roman"/>
          <w:b/>
          <w:bCs/>
          <w:sz w:val="32"/>
          <w:szCs w:val="32"/>
          <w:lang w:val="en-US" w:eastAsia="zh-CN"/>
        </w:rPr>
        <w:t>建筑施工方面，</w:t>
      </w:r>
      <w:r>
        <w:rPr>
          <w:rFonts w:hint="default" w:ascii="Times New Roman" w:hAnsi="Times New Roman" w:eastAsia="仿宋_GB2312" w:cs="Times New Roman"/>
          <w:sz w:val="32"/>
          <w:szCs w:val="32"/>
          <w:lang w:val="en-US" w:eastAsia="zh-CN"/>
        </w:rPr>
        <w:t>要紧盯房屋市政以及公路、水利、电力等重大基础设施在建工程，强化施工现场安全管理，加密桥梁、隧道、深基坑等关键施工点位的监测频次，从严查处违法分包转包、违规施工、冒险作业等行为。</w:t>
      </w:r>
    </w:p>
    <w:p w14:paraId="7BF920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黑体" w:hAnsi="黑体" w:eastAsia="黑体" w:cs="黑体"/>
          <w:sz w:val="32"/>
          <w:szCs w:val="32"/>
          <w:lang w:val="en-US" w:eastAsia="zh-CN"/>
        </w:rPr>
        <w:t>三、加强公共安全风险防范</w:t>
      </w:r>
    </w:p>
    <w:p w14:paraId="61EB477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交通运输方面，</w:t>
      </w:r>
      <w:r>
        <w:rPr>
          <w:rFonts w:hint="default" w:ascii="Times New Roman" w:hAnsi="Times New Roman" w:eastAsia="仿宋_GB2312" w:cs="Times New Roman"/>
          <w:sz w:val="32"/>
          <w:szCs w:val="32"/>
          <w:lang w:val="en-US" w:eastAsia="zh-CN"/>
        </w:rPr>
        <w:t>要加强旅游包车、长途客车、客船游船等大载客交通工具的安全监管，严厉打击“三超一疲劳”、非法载人载客等违法行为。加大桥梁隧道、高边坡、农村漫水桥、铁路沿线等高风险路段的巡查力度，及时消除事故隐患。</w:t>
      </w:r>
      <w:r>
        <w:rPr>
          <w:rFonts w:hint="default" w:ascii="Times New Roman" w:hAnsi="Times New Roman" w:eastAsia="仿宋_GB2312" w:cs="Times New Roman"/>
          <w:b/>
          <w:bCs/>
          <w:sz w:val="32"/>
          <w:szCs w:val="32"/>
          <w:lang w:val="en-US" w:eastAsia="zh-CN"/>
        </w:rPr>
        <w:t>文旅体育方面，</w:t>
      </w:r>
      <w:r>
        <w:rPr>
          <w:rFonts w:hint="default" w:ascii="Times New Roman" w:hAnsi="Times New Roman" w:eastAsia="仿宋_GB2312" w:cs="Times New Roman"/>
          <w:sz w:val="32"/>
          <w:szCs w:val="32"/>
          <w:lang w:val="en-US" w:eastAsia="zh-CN"/>
        </w:rPr>
        <w:t>要重点关注祭祀祈福等民俗活动和涉山涉水景区，强化文旅体育活动安全防范，对高风险游乐项目实行专人盯守、全程管控，严防旅游景点、游乐设施、娱乐赛事场馆等人群密集场所发生设备故障、踩踏等安全风险。</w:t>
      </w:r>
      <w:r>
        <w:rPr>
          <w:rFonts w:hint="default" w:ascii="Times New Roman" w:hAnsi="Times New Roman" w:eastAsia="仿宋_GB2312" w:cs="Times New Roman"/>
          <w:b/>
          <w:bCs/>
          <w:sz w:val="32"/>
          <w:szCs w:val="32"/>
          <w:lang w:val="en-US" w:eastAsia="zh-CN"/>
        </w:rPr>
        <w:t>消防方面，</w:t>
      </w:r>
      <w:r>
        <w:rPr>
          <w:rFonts w:hint="default" w:ascii="Times New Roman" w:hAnsi="Times New Roman" w:eastAsia="仿宋_GB2312" w:cs="Times New Roman"/>
          <w:sz w:val="32"/>
          <w:szCs w:val="32"/>
          <w:lang w:val="en-US" w:eastAsia="zh-CN"/>
        </w:rPr>
        <w:t>要紧盯高层建筑、大型商业综合体、宾馆饭店、商场市场、休闲娱乐场所及旅游景区等节日人员聚集区域，严厉整治违规动火作业、堵塞消防通道、锁闭安全出口、电动自行车违规进楼入户、飞线充电等隐患问题。</w:t>
      </w:r>
      <w:r>
        <w:rPr>
          <w:rFonts w:hint="default" w:ascii="Times New Roman" w:hAnsi="Times New Roman" w:eastAsia="仿宋_GB2312" w:cs="Times New Roman"/>
          <w:b/>
          <w:bCs/>
          <w:sz w:val="32"/>
          <w:szCs w:val="32"/>
          <w:lang w:val="en-US" w:eastAsia="zh-CN"/>
        </w:rPr>
        <w:t>燃气方面，</w:t>
      </w:r>
      <w:r>
        <w:rPr>
          <w:rFonts w:hint="default" w:ascii="Times New Roman" w:hAnsi="Times New Roman" w:eastAsia="仿宋_GB2312" w:cs="Times New Roman"/>
          <w:sz w:val="32"/>
          <w:szCs w:val="32"/>
          <w:lang w:val="en-US" w:eastAsia="zh-CN"/>
        </w:rPr>
        <w:t>针对餐饮消费需求旺盛、燃气使用频率和时长增加等情况，要加强燃气安全宣传和入户检查，确保用气安全。其他行业领域也要针对性加大事故隐患排查整治力度，严格监管执法，严防生产安全事故发生。</w:t>
      </w:r>
    </w:p>
    <w:p w14:paraId="1CC35E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黑体" w:hAnsi="黑体" w:eastAsia="黑体" w:cs="黑体"/>
          <w:sz w:val="32"/>
          <w:szCs w:val="32"/>
          <w:lang w:val="en-US" w:eastAsia="zh-CN"/>
        </w:rPr>
        <w:t>四、加强宣传引导和应急处置</w:t>
      </w:r>
    </w:p>
    <w:p w14:paraId="43FC5A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部门、各单位要结合“安全生产月”活动，充分利用广播电视、微信工作群、政务公众号、景区提示牌等各类宣传载体，广泛普及安全生产常识，引导广大群众提升安全意识和自救互救能力。要严格执行领导干部带班、重要岗位24小时值班制度，认真落实突发事件紧急信息报告要求。按照《吉林省安委会办公室关于强化节假日期间生产经营单位领导带班工作的通知》（吉安委办〔2026〕14号）要求，督促生产经营单位严格执行节假日期间领导带班制度，强化领导带班情况监督检查，严防缺岗、脱岗或未深入现场（车间一线）巡查检查等不履行职责行为。要强化应急救援力量预置，确保遇有突发情况能够快速响应、妥善应对、高效处置，严防“小隐患大事故、小事故大舆情”。</w:t>
      </w:r>
    </w:p>
    <w:p w14:paraId="764178E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2BA0A3ED">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梅河新区（梅河口市）</w:t>
      </w:r>
      <w:r>
        <w:rPr>
          <w:rFonts w:hint="default" w:ascii="Times New Roman" w:hAnsi="Times New Roman" w:eastAsia="仿宋_GB2312" w:cs="Times New Roman"/>
          <w:sz w:val="32"/>
          <w:szCs w:val="32"/>
          <w:lang w:val="en-US" w:eastAsia="zh-CN"/>
        </w:rPr>
        <w:t>安全生产委员会办公室</w:t>
      </w:r>
    </w:p>
    <w:p w14:paraId="526B0AB2">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val="en-US" w:eastAsia="zh-CN"/>
        </w:rPr>
        <w:t>2026年6月18日</w:t>
      </w:r>
      <w:r>
        <w:rPr>
          <w:rFonts w:hint="eastAsia" w:ascii="Times New Roman" w:hAnsi="Times New Roman" w:eastAsia="仿宋_GB2312" w:cs="Times New Roman"/>
          <w:sz w:val="32"/>
          <w:szCs w:val="32"/>
          <w:lang w:val="en-US" w:eastAsia="zh-CN"/>
        </w:rPr>
        <w:t xml:space="preserve">           </w:t>
      </w:r>
    </w:p>
    <w:sectPr>
      <w:pgSz w:w="11906" w:h="16838"/>
      <w:pgMar w:top="1701" w:right="1134" w:bottom="1134"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1OTI4YjAwYTkwNWY5N2U4YzkzN2M0ZmEzNTM2NDIifQ=="/>
  </w:docVars>
  <w:rsids>
    <w:rsidRoot w:val="7C562813"/>
    <w:rsid w:val="17555ADF"/>
    <w:rsid w:val="3D827BF5"/>
    <w:rsid w:val="6B15282D"/>
    <w:rsid w:val="6E843561"/>
    <w:rsid w:val="780E35BA"/>
    <w:rsid w:val="7C5628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spacing w:after="120" w:afterLines="0" w:afterAutospacing="0"/>
      <w:ind w:left="420" w:leftChars="200"/>
    </w:pPr>
  </w:style>
  <w:style w:type="paragraph" w:styleId="3">
    <w:name w:val="Body Text First Indent 2"/>
    <w:basedOn w:val="2"/>
    <w:next w:val="1"/>
    <w:qFormat/>
    <w:uiPriority w:val="0"/>
    <w:pPr>
      <w:ind w:firstLine="420" w:firstLineChars="200"/>
    </w:pPr>
  </w:style>
  <w:style w:type="character" w:customStyle="1" w:styleId="6">
    <w:name w:val="vad"/>
    <w:basedOn w:val="5"/>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1568</Words>
  <Characters>1578</Characters>
  <Lines>0</Lines>
  <Paragraphs>0</Paragraphs>
  <TotalTime>0</TotalTime>
  <ScaleCrop>false</ScaleCrop>
  <LinksUpToDate>false</LinksUpToDate>
  <CharactersWithSpaces>1589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2026-06-18T01:51:00Z</dcterms:created>
  <dc:creator>Lú_小甜</dc:creator>
  <cp:lastModifiedBy>心有玲兮</cp:lastModifiedBy>
  <cp:lastPrinted>2026-06-18T03:13:22Z</cp:lastPrinted>
  <dcterms:modified xsi:type="dcterms:W3CDTF">2026-06-18T03:13:31Z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4B7B69D3691C4E03B48B6893DABDFBC7_13</vt:lpwstr>
  </property>
  <property fmtid="{D5CDD505-2E9C-101B-9397-08002B2CF9AE}" pid="4" name="KSOTemplateDocerSaveRecord">
    <vt:lpwstr>eyJoZGlkIjoiN2VkMDE1OWUxZGU0ZGU3YjllNmJiOTdiNzg5N2FmNjkiLCJ1c2VySWQiOiIyODkyNzY4NzkifQ==</vt:lpwstr>
  </property>
</Properties>
</file>