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梅河口市辉发河生态环境综合治理与开发（EOD）项目</w:t>
      </w:r>
    </w:p>
    <w:p>
      <w:pPr>
        <w:pStyle w:val="2"/>
        <w:jc w:val="center"/>
        <w:rPr>
          <w:rStyle w:val="5"/>
          <w:rFonts w:hint="default"/>
          <w:sz w:val="44"/>
          <w:szCs w:val="44"/>
          <w:lang w:val="en-US" w:eastAsia="zh-CN" w:bidi="ar"/>
        </w:rPr>
      </w:pPr>
      <w:r>
        <w:rPr>
          <w:rFonts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市场测试调查问卷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（金融机构版）</w:t>
      </w:r>
    </w:p>
    <w:p/>
    <w:p>
      <w:pPr>
        <w:rPr>
          <w:rFonts w:hint="eastAsia" w:eastAsiaTheme="minorEastAsia"/>
          <w:b/>
          <w:bCs/>
          <w:sz w:val="21"/>
          <w:szCs w:val="24"/>
          <w:lang w:eastAsia="zh-CN"/>
        </w:rPr>
      </w:pPr>
      <w:r>
        <w:rPr>
          <w:rFonts w:hint="eastAsia"/>
          <w:b/>
          <w:bCs/>
          <w:sz w:val="21"/>
          <w:szCs w:val="24"/>
          <w:lang w:eastAsia="zh-CN"/>
        </w:rPr>
        <w:t>针对项目实施方案主要内容的意见反馈：</w:t>
      </w:r>
    </w:p>
    <w:tbl>
      <w:tblPr>
        <w:tblStyle w:val="3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73"/>
        <w:gridCol w:w="5385"/>
        <w:gridCol w:w="1515"/>
        <w:gridCol w:w="4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测试内容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初步方案设定指标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是否接受</w:t>
            </w: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如“否”则建议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运作方式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本项目采用EOD模式，投资建设运营一体化实施。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合作期限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合作期为20年，自EOD项目合同生效之日起算。其中：建设期暂定为3年，运营期暂定为17年。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项目公司股权比例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本项目股权比例由实施主体100%出资占股。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股权锁定期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本项目从项目公司成立之日起至进入运营期后5年内为股权锁定期。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回报机制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自主决策、自负盈亏，整体核算。生态环境治理提升产业开发价值，产业发展增量反哺生态环境治理，不以任何形式增加地方政府隐性债务。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实施主体采购方式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本EOD项目估算总投资约14.97亿元，其中，E类项目总投资为3.52亿元，占比23.48%；D类项目总投资为11.46亿元，占比76.52%。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资金筹措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本项目资金筹措总额约14.97亿元，资金来源为项目公司自筹和金融机构借款。其中，项目资本金约3.00亿元，占比20%；通过银行贷款筹集资金约11.97亿元，占比80%。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融资成本利率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4.2%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建设运维成本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项目预期年运营成本约为114211.9万元(含税)。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项目收益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收益来源主要是现代生态循环农业开发项目经营产出的有机蔬菜、采摘观光、无抗鸡蛋、无抗鸡肉、淀粉糖、果葡糖浆、玉米油、麦芽糊精、阿洛酮糖及医用中间体等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加工产品，运营平稳期预期年收益为131300.40万元（含税）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项目投资所得财务内部收益率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项目税前、税后财务内部收益率分别为9.62%、7.87%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投资回收期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项目税前、税后投资回收期分别为11.83年、13.08年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  <w:t>基准收益率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4.2%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财务净现值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4.2%利率水平下，项目税前、税后财务净现值分别为38973.14万元、17759.21万元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综合偿债备付率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1.5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还款方式</w:t>
            </w:r>
          </w:p>
        </w:tc>
        <w:tc>
          <w:tcPr>
            <w:tcW w:w="1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建设期三年内只付息不还本，运营期开始还本付息。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抵押担保要求</w:t>
            </w:r>
          </w:p>
        </w:tc>
        <w:tc>
          <w:tcPr>
            <w:tcW w:w="39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（请根据实际情况提供相关建议）</w:t>
            </w:r>
          </w:p>
        </w:tc>
        <w:tc>
          <w:tcPr>
            <w:tcW w:w="393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注：本表可扩展。</w:t>
      </w:r>
    </w:p>
    <w:p/>
    <w:p>
      <w:pPr>
        <w:rPr>
          <w:rFonts w:hint="eastAsia" w:ascii="宋体" w:hAnsi="宋体" w:eastAsia="宋体" w:cs="宋体"/>
        </w:rPr>
      </w:pPr>
    </w:p>
    <w:p>
      <w:pPr>
        <w:spacing w:line="240" w:lineRule="auto"/>
        <w:ind w:firstLine="0" w:firstLineChars="0"/>
        <w:jc w:val="right"/>
        <w:rPr>
          <w:rFonts w:hint="eastAsia" w:ascii="宋体" w:hAnsi="宋体" w:eastAsia="宋体" w:cs="宋体"/>
          <w:spacing w:val="-6"/>
        </w:rPr>
      </w:pPr>
      <w:r>
        <w:rPr>
          <w:rFonts w:hint="eastAsia" w:ascii="宋体" w:hAnsi="宋体" w:eastAsia="宋体" w:cs="宋体"/>
          <w:spacing w:val="-6"/>
        </w:rPr>
        <w:t>单位：</w:t>
      </w:r>
      <w:r>
        <w:rPr>
          <w:rFonts w:hint="eastAsia" w:ascii="宋体" w:hAnsi="宋体" w:eastAsia="宋体" w:cs="宋体"/>
          <w:spacing w:val="-6"/>
          <w:u w:val="single"/>
        </w:rPr>
        <w:t xml:space="preserve">                 </w:t>
      </w:r>
      <w:r>
        <w:rPr>
          <w:rFonts w:hint="eastAsia" w:ascii="宋体" w:hAnsi="宋体" w:eastAsia="宋体" w:cs="宋体"/>
          <w:spacing w:val="-6"/>
        </w:rPr>
        <w:t>（盖章）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-6"/>
          <w:u w:val="single"/>
        </w:rPr>
        <w:t xml:space="preserve">       </w:t>
      </w:r>
      <w:r>
        <w:rPr>
          <w:rFonts w:hint="eastAsia" w:ascii="宋体" w:hAnsi="宋体" w:eastAsia="宋体" w:cs="宋体"/>
          <w:spacing w:val="-6"/>
        </w:rPr>
        <w:t>年</w:t>
      </w:r>
      <w:r>
        <w:rPr>
          <w:rFonts w:hint="eastAsia" w:ascii="宋体" w:hAnsi="宋体" w:eastAsia="宋体" w:cs="宋体"/>
          <w:spacing w:val="-6"/>
          <w:u w:val="single"/>
        </w:rPr>
        <w:t xml:space="preserve">     </w:t>
      </w:r>
      <w:r>
        <w:rPr>
          <w:rFonts w:hint="eastAsia" w:ascii="宋体" w:hAnsi="宋体" w:eastAsia="宋体" w:cs="宋体"/>
          <w:spacing w:val="-6"/>
        </w:rPr>
        <w:t>月</w:t>
      </w:r>
      <w:r>
        <w:rPr>
          <w:rFonts w:hint="eastAsia" w:ascii="宋体" w:hAnsi="宋体" w:eastAsia="宋体" w:cs="宋体"/>
          <w:spacing w:val="-6"/>
          <w:u w:val="single"/>
        </w:rPr>
        <w:t xml:space="preserve">     </w:t>
      </w:r>
      <w:r>
        <w:rPr>
          <w:rFonts w:hint="eastAsia" w:ascii="宋体" w:hAnsi="宋体" w:eastAsia="宋体" w:cs="宋体"/>
          <w:spacing w:val="-6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GIxZTc5YmY4NmE1NzBhYTAwMjU5MGYzMGZhMWQifQ=="/>
  </w:docVars>
  <w:rsids>
    <w:rsidRoot w:val="251C2851"/>
    <w:rsid w:val="06383B48"/>
    <w:rsid w:val="06AB0764"/>
    <w:rsid w:val="07DF1929"/>
    <w:rsid w:val="09D4390C"/>
    <w:rsid w:val="188A4B50"/>
    <w:rsid w:val="1CB83CAF"/>
    <w:rsid w:val="1D3A5FA0"/>
    <w:rsid w:val="25191272"/>
    <w:rsid w:val="251C2851"/>
    <w:rsid w:val="28003876"/>
    <w:rsid w:val="35C557C9"/>
    <w:rsid w:val="36315D3A"/>
    <w:rsid w:val="4E6D653B"/>
    <w:rsid w:val="538A2F96"/>
    <w:rsid w:val="53A41C23"/>
    <w:rsid w:val="5A53473A"/>
    <w:rsid w:val="651343E8"/>
    <w:rsid w:val="69320EA6"/>
    <w:rsid w:val="6FA06B69"/>
    <w:rsid w:val="7BDE7397"/>
    <w:rsid w:val="7E2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widowControl/>
      <w:spacing w:after="200" w:line="240" w:lineRule="auto"/>
      <w:ind w:firstLine="420" w:firstLineChars="0"/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5">
    <w:name w:val="font61"/>
    <w:basedOn w:val="4"/>
    <w:autoRedefine/>
    <w:qFormat/>
    <w:uiPriority w:val="0"/>
    <w:rPr>
      <w:rFonts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2024-01-17T01:32:00Z</dcterms:created>
  <dc:creator>于南</dc:creator>
  <cp:lastModifiedBy>王亚男</cp:lastModifiedBy>
  <dcterms:modified xsi:type="dcterms:W3CDTF">2024-02-19T01:07:19Z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A2B10B360FC1477C977482F8DBD8E22B_13</vt:lpwstr>
  </property>
</Properties>
</file>