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adjustRightInd w:val="0"/>
        <w:spacing w:before="100" w:beforeAutospacing="1" w:after="100" w:afterAutospacing="1" w:line="480" w:lineRule="exact"/>
        <w:ind w:right="210"/>
        <w:rPr>
          <w:rFonts w:eastAsia="方正仿宋简体"/>
          <w:color w:val="000000"/>
          <w:kern w:val="0"/>
          <w:sz w:val="32"/>
          <w:szCs w:val="32"/>
        </w:rPr>
      </w:pPr>
    </w:p>
    <w:p>
      <w:pPr>
        <w:adjustRightInd w:val="0"/>
        <w:spacing w:before="100" w:beforeAutospacing="1" w:after="100" w:afterAutospacing="1" w:line="360" w:lineRule="exact"/>
        <w:ind w:right="210"/>
        <w:rPr>
          <w:rFonts w:eastAsia="方正仿宋简体"/>
          <w:color w:val="000000"/>
          <w:kern w:val="0"/>
          <w:sz w:val="32"/>
          <w:szCs w:val="32"/>
        </w:rPr>
      </w:pPr>
    </w:p>
    <w:p>
      <w:pPr>
        <w:adjustRightInd w:val="0"/>
        <w:spacing w:before="100" w:beforeAutospacing="1" w:after="100" w:afterAutospacing="1" w:line="360" w:lineRule="exact"/>
        <w:ind w:right="210"/>
        <w:rPr>
          <w:rFonts w:eastAsia="方正仿宋简体"/>
          <w:color w:val="000000"/>
          <w:kern w:val="0"/>
          <w:sz w:val="32"/>
          <w:szCs w:val="32"/>
        </w:rPr>
      </w:pPr>
    </w:p>
    <w:p>
      <w:pPr>
        <w:adjustRightInd w:val="0"/>
        <w:spacing w:before="100" w:beforeAutospacing="1" w:after="100" w:afterAutospacing="1" w:line="240" w:lineRule="exact"/>
        <w:ind w:right="210"/>
        <w:rPr>
          <w:rFonts w:eastAsia="方正仿宋简体"/>
          <w:color w:val="000000"/>
          <w:kern w:val="0"/>
          <w:sz w:val="32"/>
          <w:szCs w:val="32"/>
        </w:rPr>
      </w:pPr>
    </w:p>
    <w:p>
      <w:pPr>
        <w:adjustRightInd w:val="0"/>
        <w:spacing w:before="100" w:beforeAutospacing="1" w:after="100" w:afterAutospacing="1" w:line="240" w:lineRule="exact"/>
        <w:ind w:right="210"/>
        <w:rPr>
          <w:rFonts w:eastAsia="方正仿宋简体"/>
          <w:color w:val="000000"/>
          <w:kern w:val="0"/>
          <w:sz w:val="18"/>
          <w:szCs w:val="18"/>
        </w:rPr>
      </w:pPr>
      <w:bookmarkStart w:id="0" w:name="_GoBack"/>
      <w:bookmarkEnd w:id="0"/>
    </w:p>
    <w:p>
      <w:pPr>
        <w:adjustRightInd w:val="0"/>
        <w:spacing w:before="100" w:beforeAutospacing="1" w:after="100" w:afterAutospacing="1" w:line="160" w:lineRule="exact"/>
        <w:ind w:right="210"/>
        <w:rPr>
          <w:rFonts w:eastAsia="方正仿宋简体"/>
          <w:color w:val="000000"/>
          <w:kern w:val="0"/>
          <w:sz w:val="32"/>
          <w:szCs w:val="32"/>
        </w:rPr>
      </w:pPr>
    </w:p>
    <w:p>
      <w:pPr>
        <w:adjustRightInd w:val="0"/>
        <w:spacing w:before="100" w:beforeAutospacing="1" w:after="100" w:afterAutospacing="1" w:line="500" w:lineRule="exact"/>
        <w:ind w:right="210"/>
        <w:rPr>
          <w:rFonts w:eastAsia="方正仿宋简体"/>
          <w:color w:val="000000"/>
          <w:kern w:val="0"/>
          <w:sz w:val="32"/>
          <w:szCs w:val="32"/>
        </w:rPr>
      </w:pPr>
    </w:p>
    <w:p>
      <w:pPr>
        <w:adjustRightInd w:val="0"/>
        <w:spacing w:before="100" w:beforeAutospacing="1" w:after="100" w:afterAutospacing="1" w:line="480" w:lineRule="exact"/>
        <w:ind w:right="210"/>
        <w:jc w:val="center"/>
        <w:rPr>
          <w:rFonts w:hint="default" w:ascii="Times New Roman" w:hAnsi="Times New Roman" w:eastAsia="方正仿宋_GBK" w:cs="Times New Roman"/>
          <w:color w:val="000000"/>
          <w:kern w:val="0"/>
          <w:sz w:val="32"/>
          <w:szCs w:val="32"/>
        </w:rPr>
      </w:pPr>
      <w:r>
        <w:rPr>
          <w:rFonts w:hint="eastAsia" w:eastAsia="方正仿宋_GBK"/>
          <w:color w:val="000000"/>
          <w:kern w:val="0"/>
          <w:sz w:val="32"/>
          <w:szCs w:val="32"/>
        </w:rPr>
        <w:t>梅政</w:t>
      </w:r>
      <w:r>
        <w:rPr>
          <w:rFonts w:hint="default" w:ascii="Times New Roman" w:hAnsi="Times New Roman" w:eastAsia="方正仿宋_GBK" w:cs="Times New Roman"/>
          <w:color w:val="000000"/>
          <w:kern w:val="0"/>
          <w:sz w:val="32"/>
          <w:szCs w:val="32"/>
        </w:rPr>
        <w:t>发〔20</w:t>
      </w:r>
      <w:r>
        <w:rPr>
          <w:rFonts w:hint="default" w:ascii="Times New Roman" w:hAnsi="Times New Roman" w:eastAsia="方正仿宋_GBK" w:cs="Times New Roman"/>
          <w:color w:val="000000"/>
          <w:kern w:val="0"/>
          <w:sz w:val="32"/>
          <w:szCs w:val="32"/>
          <w:lang w:val="en-US" w:eastAsia="zh-CN"/>
        </w:rPr>
        <w:t>2</w:t>
      </w:r>
      <w:r>
        <w:rPr>
          <w:rFonts w:hint="eastAsia" w:ascii="Times New Roman" w:hAnsi="Times New Roman"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w:t>
      </w:r>
      <w:r>
        <w:rPr>
          <w:rFonts w:hint="eastAsia" w:ascii="Times New Roman" w:hAnsi="Times New Roman" w:cs="Times New Roman"/>
          <w:color w:val="000000"/>
          <w:kern w:val="0"/>
          <w:sz w:val="32"/>
          <w:szCs w:val="32"/>
          <w:lang w:eastAsia="zh-CN"/>
        </w:rPr>
        <w:t>2</w:t>
      </w:r>
      <w:r>
        <w:rPr>
          <w:rFonts w:hint="default" w:ascii="Times New Roman" w:hAnsi="Times New Roman" w:eastAsia="方正仿宋_GBK" w:cs="Times New Roman"/>
          <w:color w:val="000000"/>
          <w:kern w:val="0"/>
          <w:sz w:val="32"/>
          <w:szCs w:val="32"/>
        </w:rPr>
        <w:t>号</w:t>
      </w:r>
    </w:p>
    <w:p>
      <w:pPr>
        <w:keepNext w:val="0"/>
        <w:keepLines w:val="0"/>
        <w:pageBreakBefore w:val="0"/>
        <w:widowControl w:val="0"/>
        <w:tabs>
          <w:tab w:val="left" w:pos="7200"/>
        </w:tabs>
        <w:kinsoku/>
        <w:wordWrap/>
        <w:overflowPunct/>
        <w:topLinePunct w:val="0"/>
        <w:autoSpaceDE/>
        <w:autoSpaceDN/>
        <w:bidi w:val="0"/>
        <w:adjustRightInd w:val="0"/>
        <w:snapToGrid/>
        <w:spacing w:line="700" w:lineRule="exact"/>
        <w:textAlignment w:val="auto"/>
        <w:outlineLvl w:val="9"/>
        <w:rPr>
          <w:rFonts w:hint="default" w:ascii="Times New Roman" w:hAnsi="Times New Roman" w:eastAsia="方正仿宋简体"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梅河口市人民政府关于公布实施</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梅河口市集体建设用地基准地价成果的通知</w:t>
      </w:r>
    </w:p>
    <w:p>
      <w:pPr>
        <w:keepNext w:val="0"/>
        <w:keepLines w:val="0"/>
        <w:pageBreakBefore w:val="0"/>
        <w:widowControl w:val="0"/>
        <w:kinsoku/>
        <w:wordWrap/>
        <w:overflowPunct/>
        <w:topLinePunct w:val="0"/>
        <w:autoSpaceDE/>
        <w:autoSpaceDN/>
        <w:bidi w:val="0"/>
        <w:adjustRightInd w:val="0"/>
        <w:snapToGrid w:val="0"/>
        <w:spacing w:line="640" w:lineRule="exact"/>
        <w:textAlignment w:val="auto"/>
        <w:outlineLvl w:val="9"/>
        <w:rPr>
          <w:rFonts w:hint="default" w:ascii="Times New Roman" w:hAnsi="Times New Roman" w:eastAsia="方正仿宋_GBK" w:cs="Times New Roman"/>
          <w:color w:val="000000"/>
          <w:kern w:val="0"/>
          <w:sz w:val="32"/>
          <w:szCs w:val="32"/>
          <w:lang w:bidi="ar"/>
        </w:rPr>
      </w:pPr>
    </w:p>
    <w:p>
      <w:pPr>
        <w:keepNext w:val="0"/>
        <w:keepLines w:val="0"/>
        <w:pageBreakBefore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各乡镇人民政府、街道办事处，市政府各办局、直属企事业单位，驻梅</w:t>
      </w:r>
      <w:r>
        <w:rPr>
          <w:rFonts w:hint="eastAsia" w:ascii="Times New Roman" w:hAnsi="Times New Roman" w:cs="Times New Roman"/>
          <w:color w:val="000000"/>
          <w:kern w:val="0"/>
          <w:sz w:val="32"/>
          <w:szCs w:val="32"/>
          <w:lang w:eastAsia="zh-CN" w:bidi="ar"/>
        </w:rPr>
        <w:t>各</w:t>
      </w:r>
      <w:r>
        <w:rPr>
          <w:rFonts w:hint="default" w:ascii="Times New Roman" w:hAnsi="Times New Roman" w:eastAsia="方正仿宋_GBK" w:cs="Times New Roman"/>
          <w:color w:val="000000"/>
          <w:kern w:val="0"/>
          <w:sz w:val="32"/>
          <w:szCs w:val="32"/>
          <w:lang w:bidi="ar"/>
        </w:rPr>
        <w:t>单位：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为贯彻落实《国土资源部办公厅关于加强公示地价体系建设和管理有关问题的通知》（国土资厅发</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27号）</w:t>
      </w:r>
      <w:r>
        <w:rPr>
          <w:rFonts w:hint="eastAsia" w:ascii="Times New Roman" w:hAnsi="Times New Roman" w:cs="Times New Roman"/>
          <w:sz w:val="32"/>
          <w:szCs w:val="32"/>
          <w:lang w:eastAsia="zh-CN"/>
        </w:rPr>
        <w:t>和</w:t>
      </w:r>
      <w:r>
        <w:rPr>
          <w:rFonts w:hint="default" w:ascii="Times New Roman" w:hAnsi="Times New Roman" w:eastAsia="方正仿宋_GBK" w:cs="Times New Roman"/>
          <w:sz w:val="32"/>
          <w:szCs w:val="32"/>
        </w:rPr>
        <w:t>《吉林省国土资源厅关于印发吉林省公示地价体系建设和管理工作方案的通知》</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吉国土资用发〔2017〕28号</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文件要求，梅河口市已完成集体建设用地基准地价成果制定工作，</w:t>
      </w:r>
      <w:r>
        <w:rPr>
          <w:rFonts w:hint="eastAsia" w:ascii="Times New Roman" w:hAnsi="Times New Roman" w:cs="Times New Roman"/>
          <w:sz w:val="32"/>
          <w:szCs w:val="32"/>
          <w:lang w:eastAsia="zh-CN"/>
        </w:rPr>
        <w:t>已</w:t>
      </w:r>
      <w:r>
        <w:rPr>
          <w:rFonts w:hint="default" w:ascii="Times New Roman" w:hAnsi="Times New Roman" w:eastAsia="方正仿宋_GBK" w:cs="Times New Roman"/>
          <w:sz w:val="32"/>
          <w:szCs w:val="32"/>
        </w:rPr>
        <w:t>经</w:t>
      </w:r>
      <w:r>
        <w:rPr>
          <w:rFonts w:hint="eastAsia" w:ascii="Times New Roman" w:hAnsi="Times New Roman" w:cs="Times New Roman"/>
          <w:sz w:val="32"/>
          <w:szCs w:val="32"/>
          <w:lang w:val="en-US" w:eastAsia="zh-CN"/>
        </w:rPr>
        <w:t>2022年4月28日</w:t>
      </w:r>
      <w:r>
        <w:rPr>
          <w:rFonts w:hint="default" w:ascii="Times New Roman" w:hAnsi="Times New Roman" w:eastAsia="方正仿宋_GBK" w:cs="Times New Roman"/>
          <w:sz w:val="32"/>
          <w:szCs w:val="32"/>
        </w:rPr>
        <w:t>市政府第二次常务会议审议通过。现将有关事项通知如下：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一、基准地价范围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本次公布的基准地价范围为梅河口市第二次全国土地调查范围内全部集体建设用地。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二、集体建设用地基准地价内涵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（一）土地权利状况：</w:t>
      </w:r>
      <w:r>
        <w:rPr>
          <w:rFonts w:hint="default" w:ascii="Times New Roman" w:hAnsi="Times New Roman" w:eastAsia="方正仿宋_GBK" w:cs="Times New Roman"/>
          <w:sz w:val="32"/>
          <w:szCs w:val="32"/>
        </w:rPr>
        <w:t>集体建设用地使用权。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color w:val="auto"/>
          <w:sz w:val="32"/>
          <w:szCs w:val="32"/>
        </w:rPr>
        <w:t>（二）估价期日：</w:t>
      </w:r>
      <w:r>
        <w:rPr>
          <w:rFonts w:hint="default" w:ascii="Times New Roman" w:hAnsi="Times New Roman" w:eastAsia="方正仿宋_GBK" w:cs="Times New Roman"/>
          <w:sz w:val="32"/>
          <w:szCs w:val="32"/>
        </w:rPr>
        <w:t>2020年1月1日。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（三）土地用途：</w:t>
      </w:r>
      <w:r>
        <w:rPr>
          <w:rFonts w:hint="default" w:ascii="Times New Roman" w:hAnsi="Times New Roman" w:eastAsia="方正仿宋_GBK" w:cs="Times New Roman"/>
          <w:sz w:val="32"/>
          <w:szCs w:val="32"/>
        </w:rPr>
        <w:t>分为经营性建设用地和非经营性建设用地，经营性建设用地有集体商服用地和集体工矿仓储用地，非经营性建设用地有集体公共管理与公共服务用地。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（四）土地使用年期：</w:t>
      </w:r>
      <w:r>
        <w:rPr>
          <w:rFonts w:hint="default" w:ascii="Times New Roman" w:hAnsi="Times New Roman" w:eastAsia="方正仿宋_GBK" w:cs="Times New Roman"/>
          <w:sz w:val="32"/>
          <w:szCs w:val="32"/>
        </w:rPr>
        <w:t>参照同用途国有土地使用权出让最高年限确定，商服用地40年，工矿仓储用地50年，公共管理与公共服务用地50年。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w:t>
      </w:r>
      <w:r>
        <w:rPr>
          <w:rFonts w:hint="default" w:ascii="方正楷体_GBK" w:hAnsi="方正楷体_GBK" w:eastAsia="方正楷体_GBK" w:cs="方正楷体_GBK"/>
          <w:color w:val="auto"/>
          <w:sz w:val="32"/>
          <w:szCs w:val="32"/>
        </w:rPr>
        <w:t>土地平均开发程度设定</w:t>
      </w:r>
      <w:r>
        <w:rPr>
          <w:rFonts w:hint="default" w:ascii="方正楷体_GBK" w:hAnsi="方正楷体_GBK" w:eastAsia="方正楷体_GBK" w:cs="方正楷体_GBK"/>
          <w:sz w:val="32"/>
          <w:szCs w:val="32"/>
        </w:rPr>
        <w:t>：</w:t>
      </w:r>
      <w:r>
        <w:rPr>
          <w:rFonts w:hint="default" w:ascii="Times New Roman" w:hAnsi="Times New Roman" w:eastAsia="方正仿宋_GBK" w:cs="Times New Roman"/>
          <w:sz w:val="32"/>
          <w:szCs w:val="32"/>
        </w:rPr>
        <w:t>城区土地开发程度设定为</w:t>
      </w:r>
      <w:r>
        <w:rPr>
          <w:rFonts w:hint="eastAsia" w:ascii="方正仿宋_GBK" w:hAnsi="方正仿宋_GBK" w:eastAsia="方正仿宋_GBK" w:cs="方正仿宋_GBK"/>
          <w:sz w:val="32"/>
          <w:szCs w:val="32"/>
        </w:rPr>
        <w:t>“五通一平”</w:t>
      </w:r>
      <w:r>
        <w:rPr>
          <w:rFonts w:hint="default" w:ascii="Times New Roman" w:hAnsi="Times New Roman" w:eastAsia="方正仿宋_GBK" w:cs="Times New Roman"/>
          <w:sz w:val="32"/>
          <w:szCs w:val="32"/>
        </w:rPr>
        <w:t>（通路、通上水、通下水、通讯、通电），各乡镇平均开发程度设</w:t>
      </w:r>
      <w:r>
        <w:rPr>
          <w:rFonts w:hint="eastAsia" w:ascii="方正仿宋_GBK" w:hAnsi="方正仿宋_GBK" w:eastAsia="方正仿宋_GBK" w:cs="方正仿宋_GBK"/>
          <w:sz w:val="32"/>
          <w:szCs w:val="32"/>
        </w:rPr>
        <w:t>定为“三通一平”</w:t>
      </w:r>
      <w:r>
        <w:rPr>
          <w:rFonts w:hint="default" w:ascii="Times New Roman" w:hAnsi="Times New Roman" w:eastAsia="方正仿宋_GBK" w:cs="Times New Roman"/>
          <w:sz w:val="32"/>
          <w:szCs w:val="32"/>
        </w:rPr>
        <w:t>（通路、通电、通讯及土地平整）。</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auto"/>
          <w:sz w:val="32"/>
          <w:szCs w:val="32"/>
        </w:rPr>
        <w:t>（六）</w:t>
      </w:r>
      <w:r>
        <w:rPr>
          <w:rFonts w:hint="eastAsia" w:ascii="方正楷体_GBK" w:hAnsi="方正楷体_GBK" w:eastAsia="方正楷体_GBK" w:cs="方正楷体_GBK"/>
          <w:sz w:val="32"/>
          <w:szCs w:val="32"/>
        </w:rPr>
        <w:t>土地平均容积率</w:t>
      </w:r>
      <w:r>
        <w:rPr>
          <w:rFonts w:hint="default" w:ascii="方正楷体_GBK" w:hAnsi="方正楷体_GBK" w:eastAsia="方正楷体_GBK" w:cs="方正楷体_GBK"/>
          <w:sz w:val="32"/>
          <w:szCs w:val="32"/>
        </w:rPr>
        <w:t>：</w:t>
      </w:r>
      <w:r>
        <w:rPr>
          <w:rFonts w:hint="default" w:ascii="Times New Roman" w:hAnsi="Times New Roman" w:eastAsia="方正仿宋_GBK" w:cs="Times New Roman"/>
          <w:sz w:val="32"/>
          <w:szCs w:val="32"/>
        </w:rPr>
        <w:t>城区商服用地设定为2.0、工矿仓储用地设定为1.0、公共管理与公共服务用地（0801</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0808）设定为1.2、公共管理与公共服务用地（0809</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0810）设定为0.7。镇（乡）商服用地设定为1.5、工矿仓储用地设定为0.7、公共管理与公共服务用地（0801</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0808）设定为1.0、公共管理与公共服务用地（0809</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0810）设定为0.7。</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（七）土地还原率：</w:t>
      </w:r>
      <w:r>
        <w:rPr>
          <w:rFonts w:hint="default" w:ascii="Times New Roman" w:hAnsi="Times New Roman" w:eastAsia="方正仿宋_GBK" w:cs="Times New Roman"/>
          <w:sz w:val="32"/>
          <w:szCs w:val="32"/>
        </w:rPr>
        <w:t>6.5%。</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（八）价格表现形式：</w:t>
      </w:r>
      <w:r>
        <w:rPr>
          <w:rFonts w:hint="default" w:ascii="Times New Roman" w:hAnsi="Times New Roman" w:eastAsia="方正仿宋_GBK" w:cs="Times New Roman"/>
          <w:sz w:val="32"/>
          <w:szCs w:val="32"/>
        </w:rPr>
        <w:t>地面地价。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三、梅河口市集体建设用地基准地价于</w:t>
      </w:r>
      <w:r>
        <w:rPr>
          <w:rFonts w:hint="eastAsia" w:ascii="方正黑体_GBK" w:hAnsi="方正黑体_GBK" w:eastAsia="方正黑体_GBK" w:cs="方正黑体_GBK"/>
          <w:sz w:val="32"/>
          <w:szCs w:val="32"/>
          <w:lang w:eastAsia="zh-CN"/>
        </w:rPr>
        <w:t>印发之日起公布实施</w:t>
      </w:r>
      <w:r>
        <w:rPr>
          <w:rFonts w:hint="eastAsia" w:ascii="方正黑体_GBK" w:hAnsi="方正黑体_GBK" w:eastAsia="方正黑体_GBK" w:cs="方正黑体_GBK"/>
          <w:sz w:val="32"/>
          <w:szCs w:val="32"/>
        </w:rPr>
        <w:t>。</w:t>
      </w:r>
    </w:p>
    <w:p>
      <w:pPr>
        <w:pStyle w:val="2"/>
        <w:keepNext w:val="0"/>
        <w:keepLines w:val="0"/>
        <w:pageBreakBefore w:val="0"/>
        <w:widowControl w:val="0"/>
        <w:kinsoku/>
        <w:wordWrap/>
        <w:overflowPunct/>
        <w:topLinePunct w:val="0"/>
        <w:autoSpaceDE/>
        <w:autoSpaceDN/>
        <w:bidi w:val="0"/>
        <w:adjustRightInd/>
        <w:snapToGrid/>
        <w:spacing w:before="0" w:after="0" w:line="590" w:lineRule="exact"/>
        <w:jc w:val="both"/>
        <w:textAlignment w:val="auto"/>
        <w:outlineLvl w:val="0"/>
        <w:rPr>
          <w:rFonts w:hint="default"/>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9"/>
        <w:rPr>
          <w:rFonts w:hint="eastAsia" w:ascii="Times New Roman" w:hAnsi="Times New Roman" w:cs="Times New Roman"/>
          <w:sz w:val="32"/>
          <w:szCs w:val="32"/>
          <w:lang w:eastAsia="zh-CN"/>
        </w:rPr>
      </w:pPr>
      <w:r>
        <w:rPr>
          <w:rFonts w:hint="default" w:ascii="Times New Roman" w:hAnsi="Times New Roman" w:eastAsia="方正仿宋_GBK" w:cs="Times New Roman"/>
          <w:sz w:val="32"/>
          <w:szCs w:val="32"/>
        </w:rPr>
        <w:t>附件：梅河口市集体建设用地基准地价表</w:t>
      </w:r>
    </w:p>
    <w:p>
      <w:pPr>
        <w:pStyle w:val="2"/>
        <w:keepNext w:val="0"/>
        <w:keepLines w:val="0"/>
        <w:pageBreakBefore w:val="0"/>
        <w:widowControl w:val="0"/>
        <w:kinsoku/>
        <w:wordWrap/>
        <w:overflowPunct/>
        <w:topLinePunct w:val="0"/>
        <w:autoSpaceDE/>
        <w:autoSpaceDN/>
        <w:bidi w:val="0"/>
        <w:adjustRightInd/>
        <w:snapToGrid/>
        <w:spacing w:before="0" w:after="0" w:line="590" w:lineRule="exact"/>
        <w:jc w:val="both"/>
        <w:textAlignment w:val="auto"/>
        <w:outlineLvl w:val="0"/>
        <w:rPr>
          <w:rFonts w:hint="eastAsia" w:ascii="Times New Roman" w:hAnsi="Times New Roman"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0" w:after="0" w:line="590" w:lineRule="exact"/>
        <w:jc w:val="both"/>
        <w:textAlignment w:val="auto"/>
        <w:outlineLvl w:val="0"/>
        <w:rPr>
          <w:rFonts w:hint="eastAsia" w:ascii="Times New Roman" w:hAnsi="Times New Roman" w:cs="Times New Roman"/>
          <w:sz w:val="32"/>
          <w:szCs w:val="32"/>
          <w:lang w:eastAsia="zh-CN"/>
        </w:rPr>
      </w:pPr>
    </w:p>
    <w:p>
      <w:pPr>
        <w:keepNext w:val="0"/>
        <w:keepLines w:val="0"/>
        <w:pageBreakBefore w:val="0"/>
        <w:widowControl/>
        <w:kinsoku/>
        <w:wordWrap/>
        <w:overflowPunct/>
        <w:topLinePunct w:val="0"/>
        <w:autoSpaceDE/>
        <w:autoSpaceDN/>
        <w:bidi w:val="0"/>
        <w:adjustRightInd/>
        <w:snapToGrid/>
        <w:spacing w:line="590" w:lineRule="exact"/>
        <w:ind w:left="0" w:leftChars="0" w:firstLine="4937" w:firstLineChars="1543"/>
        <w:textAlignment w:val="auto"/>
        <w:outlineLvl w:val="9"/>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梅河口市人民政府</w:t>
      </w:r>
    </w:p>
    <w:p>
      <w:pPr>
        <w:pStyle w:val="2"/>
        <w:keepNext w:val="0"/>
        <w:keepLines w:val="0"/>
        <w:pageBreakBefore w:val="0"/>
        <w:widowControl w:val="0"/>
        <w:kinsoku/>
        <w:wordWrap/>
        <w:overflowPunct/>
        <w:topLinePunct w:val="0"/>
        <w:autoSpaceDE/>
        <w:autoSpaceDN/>
        <w:bidi w:val="0"/>
        <w:adjustRightInd/>
        <w:snapToGrid/>
        <w:spacing w:before="0" w:after="0" w:line="590" w:lineRule="exact"/>
        <w:textAlignment w:val="auto"/>
        <w:outlineLvl w:val="0"/>
        <w:rPr>
          <w:rFonts w:hint="eastAsia" w:ascii="Times New Roman" w:hAnsi="Times New Roman" w:cs="Times New Roman"/>
          <w:b w:val="0"/>
          <w:bCs w:val="0"/>
          <w:sz w:val="32"/>
          <w:szCs w:val="32"/>
          <w:lang w:val="en-US" w:eastAsia="zh-CN"/>
        </w:rPr>
      </w:pPr>
      <w:r>
        <w:rPr>
          <w:rFonts w:hint="eastAsia" w:ascii="Times New Roman" w:hAnsi="Times New Roman" w:cs="Times New Roman"/>
          <w:b w:val="0"/>
          <w:bCs w:val="0"/>
          <w:sz w:val="32"/>
          <w:szCs w:val="32"/>
          <w:lang w:val="en-US" w:eastAsia="zh-CN"/>
        </w:rPr>
        <w:t xml:space="preserve">                        2022年4月29日</w:t>
      </w:r>
    </w:p>
    <w:p>
      <w:pPr>
        <w:pStyle w:val="2"/>
        <w:keepNext w:val="0"/>
        <w:keepLines w:val="0"/>
        <w:pageBreakBefore w:val="0"/>
        <w:widowControl w:val="0"/>
        <w:kinsoku/>
        <w:wordWrap/>
        <w:overflowPunct/>
        <w:topLinePunct w:val="0"/>
        <w:autoSpaceDE/>
        <w:autoSpaceDN/>
        <w:bidi w:val="0"/>
        <w:adjustRightInd/>
        <w:snapToGrid/>
        <w:spacing w:before="0" w:after="0" w:line="590" w:lineRule="exact"/>
        <w:textAlignment w:val="auto"/>
        <w:outlineLvl w:val="0"/>
        <w:rPr>
          <w:rFonts w:hint="default" w:ascii="Times New Roman" w:hAnsi="Times New Roman"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590" w:lineRule="exact"/>
        <w:ind w:firstLine="640" w:firstLineChars="200"/>
        <w:jc w:val="both"/>
        <w:textAlignment w:val="auto"/>
        <w:outlineLvl w:val="0"/>
        <w:rPr>
          <w:rFonts w:hint="eastAsia" w:ascii="Times New Roman" w:hAnsi="Times New Roman" w:cs="Times New Roman"/>
          <w:b w:val="0"/>
          <w:bCs w:val="0"/>
          <w:sz w:val="32"/>
          <w:szCs w:val="32"/>
          <w:lang w:val="en-US" w:eastAsia="zh-CN"/>
        </w:rPr>
      </w:pPr>
      <w:r>
        <w:rPr>
          <w:rFonts w:hint="eastAsia" w:ascii="Times New Roman" w:hAnsi="Times New Roman" w:cs="Times New Roman"/>
          <w:b w:val="0"/>
          <w:bCs w:val="0"/>
          <w:sz w:val="32"/>
          <w:szCs w:val="32"/>
          <w:lang w:val="en-US" w:eastAsia="zh-CN"/>
        </w:rPr>
        <w:t>（此件公开发布）</w:t>
      </w:r>
    </w:p>
    <w:p>
      <w:pPr>
        <w:pStyle w:val="2"/>
        <w:keepNext w:val="0"/>
        <w:keepLines w:val="0"/>
        <w:pageBreakBefore w:val="0"/>
        <w:widowControl w:val="0"/>
        <w:kinsoku/>
        <w:wordWrap/>
        <w:overflowPunct/>
        <w:topLinePunct w:val="0"/>
        <w:autoSpaceDE/>
        <w:autoSpaceDN/>
        <w:bidi w:val="0"/>
        <w:adjustRightInd/>
        <w:snapToGrid/>
        <w:spacing w:before="0" w:after="0" w:line="590" w:lineRule="exact"/>
        <w:ind w:firstLine="640" w:firstLineChars="200"/>
        <w:jc w:val="both"/>
        <w:textAlignment w:val="auto"/>
        <w:outlineLvl w:val="0"/>
        <w:rPr>
          <w:rFonts w:hint="eastAsia" w:ascii="Times New Roman" w:hAnsi="Times New Roman"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jc w:val="both"/>
        <w:textAlignment w:val="auto"/>
        <w:outlineLvl w:val="0"/>
        <w:rPr>
          <w:rFonts w:hint="eastAsia" w:eastAsia="方正小标宋_GBK"/>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before="0" w:after="0" w:line="40" w:lineRule="exact"/>
        <w:textAlignment w:val="auto"/>
        <w:outlineLvl w:val="0"/>
        <w:rPr>
          <w:rFonts w:hint="eastAsia"/>
        </w:rPr>
      </w:pPr>
    </w:p>
    <w:tbl>
      <w:tblPr>
        <w:tblStyle w:val="12"/>
        <w:tblW w:w="8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732" w:type="dxa"/>
            <w:tcBorders>
              <w:top w:val="single" w:color="auto" w:sz="4" w:space="0"/>
              <w:left w:val="nil"/>
              <w:bottom w:val="single" w:color="auto" w:sz="4" w:space="0"/>
              <w:right w:val="nil"/>
            </w:tcBorders>
            <w:vAlign w:val="bottom"/>
          </w:tcPr>
          <w:p>
            <w:pPr>
              <w:spacing w:line="400" w:lineRule="exact"/>
              <w:ind w:left="1083" w:leftChars="76" w:hanging="840" w:hangingChars="300"/>
              <w:rPr>
                <w:rFonts w:eastAsia="方正仿宋_GBK"/>
                <w:color w:val="000000"/>
                <w:sz w:val="28"/>
                <w:szCs w:val="28"/>
              </w:rPr>
            </w:pPr>
            <w:r>
              <w:rPr>
                <w:rFonts w:eastAsia="方正仿宋_GBK"/>
                <w:color w:val="000000"/>
                <w:sz w:val="28"/>
                <w:szCs w:val="28"/>
              </w:rPr>
              <w:t>抄送：市委各部门，市人大常委会办公室，市政协办公室，</w:t>
            </w:r>
            <w:r>
              <w:rPr>
                <w:rFonts w:hint="eastAsia" w:eastAsia="方正仿宋_GBK"/>
                <w:color w:val="000000"/>
                <w:sz w:val="28"/>
                <w:szCs w:val="28"/>
                <w:lang w:eastAsia="zh-CN"/>
              </w:rPr>
              <w:t>高新</w:t>
            </w:r>
            <w:r>
              <w:rPr>
                <w:rFonts w:eastAsia="方正仿宋_GBK"/>
                <w:color w:val="000000"/>
                <w:sz w:val="28"/>
                <w:szCs w:val="28"/>
              </w:rPr>
              <w:t>区</w:t>
            </w:r>
          </w:p>
          <w:p>
            <w:pPr>
              <w:spacing w:line="400" w:lineRule="exact"/>
              <w:ind w:firstLine="1120" w:firstLineChars="400"/>
              <w:rPr>
                <w:rFonts w:eastAsia="方正仿宋_GBK"/>
                <w:color w:val="000000"/>
                <w:sz w:val="28"/>
                <w:szCs w:val="28"/>
              </w:rPr>
            </w:pPr>
            <w:r>
              <w:rPr>
                <w:rFonts w:eastAsia="方正仿宋_GBK"/>
                <w:color w:val="000000"/>
                <w:sz w:val="28"/>
                <w:szCs w:val="28"/>
              </w:rPr>
              <w:t>办公室，</w:t>
            </w:r>
            <w:r>
              <w:rPr>
                <w:rFonts w:hint="eastAsia" w:eastAsia="方正仿宋_GBK"/>
                <w:color w:val="000000"/>
                <w:sz w:val="28"/>
                <w:szCs w:val="28"/>
              </w:rPr>
              <w:t>市监委，</w:t>
            </w:r>
            <w:r>
              <w:rPr>
                <w:rFonts w:eastAsia="方正仿宋_GBK"/>
                <w:color w:val="000000"/>
                <w:sz w:val="28"/>
                <w:szCs w:val="28"/>
              </w:rPr>
              <w:t>市法院，市检察院，各人民团体。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732" w:type="dxa"/>
            <w:tcBorders>
              <w:top w:val="single" w:color="auto" w:sz="4" w:space="0"/>
              <w:left w:val="nil"/>
              <w:bottom w:val="single" w:color="auto" w:sz="4" w:space="0"/>
              <w:right w:val="nil"/>
            </w:tcBorders>
            <w:vAlign w:val="bottom"/>
          </w:tcPr>
          <w:p>
            <w:pPr>
              <w:spacing w:line="400" w:lineRule="exact"/>
              <w:ind w:firstLine="280" w:firstLineChars="100"/>
              <w:rPr>
                <w:rFonts w:eastAsia="方正仿宋_GBK"/>
                <w:color w:val="000000"/>
                <w:sz w:val="28"/>
                <w:szCs w:val="28"/>
              </w:rPr>
            </w:pPr>
            <w:r>
              <w:rPr>
                <w:rFonts w:eastAsia="方正仿宋_GBK"/>
                <w:color w:val="000000"/>
                <w:sz w:val="28"/>
                <w:szCs w:val="28"/>
              </w:rPr>
              <w:t xml:space="preserve">梅河口市人民政府办公室        </w:t>
            </w:r>
            <w:r>
              <w:rPr>
                <w:rFonts w:hint="eastAsia" w:eastAsia="方正仿宋_GBK"/>
                <w:color w:val="000000"/>
                <w:sz w:val="28"/>
                <w:szCs w:val="28"/>
                <w:lang w:val="en-US" w:eastAsia="zh-CN"/>
              </w:rPr>
              <w:t xml:space="preserve"> </w:t>
            </w:r>
            <w:r>
              <w:rPr>
                <w:rFonts w:hint="eastAsia" w:eastAsia="方正仿宋_GBK"/>
                <w:color w:val="000000"/>
                <w:sz w:val="28"/>
                <w:szCs w:val="28"/>
              </w:rPr>
              <w:t xml:space="preserve"> </w:t>
            </w:r>
            <w:r>
              <w:rPr>
                <w:rFonts w:hint="eastAsia" w:eastAsia="方正仿宋_GBK"/>
                <w:color w:val="000000"/>
                <w:sz w:val="28"/>
                <w:szCs w:val="28"/>
                <w:lang w:val="en-US" w:eastAsia="zh-CN"/>
              </w:rPr>
              <w:t xml:space="preserve"> </w:t>
            </w:r>
            <w:r>
              <w:rPr>
                <w:rFonts w:hint="eastAsia"/>
                <w:color w:val="000000"/>
                <w:sz w:val="28"/>
                <w:szCs w:val="28"/>
                <w:lang w:val="en-US" w:eastAsia="zh-CN"/>
              </w:rPr>
              <w:t xml:space="preserve">     </w:t>
            </w:r>
            <w:r>
              <w:rPr>
                <w:rFonts w:ascii="Times New Roman" w:hAnsi="Times New Roman" w:eastAsia="方正仿宋_GBK"/>
                <w:color w:val="000000"/>
                <w:sz w:val="28"/>
                <w:szCs w:val="28"/>
              </w:rPr>
              <w:t>20</w:t>
            </w:r>
            <w:r>
              <w:rPr>
                <w:rFonts w:hint="eastAsia" w:ascii="Times New Roman" w:hAnsi="Times New Roman" w:eastAsia="方正仿宋_GBK"/>
                <w:color w:val="000000"/>
                <w:sz w:val="28"/>
                <w:szCs w:val="28"/>
                <w:lang w:val="en-US" w:eastAsia="zh-CN"/>
              </w:rPr>
              <w:t>2</w:t>
            </w:r>
            <w:r>
              <w:rPr>
                <w:rFonts w:hint="eastAsia" w:ascii="Times New Roman" w:hAnsi="Times New Roman"/>
                <w:color w:val="000000"/>
                <w:sz w:val="28"/>
                <w:szCs w:val="28"/>
                <w:lang w:val="en-US" w:eastAsia="zh-CN"/>
              </w:rPr>
              <w:t>2</w:t>
            </w:r>
            <w:r>
              <w:rPr>
                <w:rFonts w:ascii="Times New Roman" w:hAnsi="Times New Roman" w:eastAsia="方正仿宋_GBK"/>
                <w:color w:val="000000"/>
                <w:sz w:val="28"/>
                <w:szCs w:val="28"/>
              </w:rPr>
              <w:t>年</w:t>
            </w:r>
            <w:r>
              <w:rPr>
                <w:rFonts w:hint="eastAsia" w:ascii="Times New Roman" w:hAnsi="Times New Roman"/>
                <w:color w:val="000000"/>
                <w:sz w:val="28"/>
                <w:szCs w:val="28"/>
                <w:lang w:val="en-US" w:eastAsia="zh-CN"/>
              </w:rPr>
              <w:t>4</w:t>
            </w:r>
            <w:r>
              <w:rPr>
                <w:rFonts w:ascii="Times New Roman" w:hAnsi="Times New Roman" w:eastAsia="方正仿宋_GBK"/>
                <w:color w:val="000000"/>
                <w:sz w:val="28"/>
                <w:szCs w:val="28"/>
              </w:rPr>
              <w:t>月</w:t>
            </w:r>
            <w:r>
              <w:rPr>
                <w:rFonts w:hint="eastAsia" w:ascii="Times New Roman" w:hAnsi="Times New Roman"/>
                <w:color w:val="000000"/>
                <w:sz w:val="28"/>
                <w:szCs w:val="28"/>
                <w:lang w:val="en-US" w:eastAsia="zh-CN"/>
              </w:rPr>
              <w:t>29</w:t>
            </w:r>
            <w:r>
              <w:rPr>
                <w:rFonts w:ascii="Times New Roman" w:hAnsi="Times New Roman" w:eastAsia="方正仿宋_GBK"/>
                <w:color w:val="000000"/>
                <w:sz w:val="28"/>
                <w:szCs w:val="28"/>
              </w:rPr>
              <w:t>日印发</w:t>
            </w:r>
          </w:p>
        </w:tc>
      </w:tr>
    </w:tbl>
    <w:p>
      <w:pPr>
        <w:pStyle w:val="2"/>
        <w:keepNext w:val="0"/>
        <w:keepLines w:val="0"/>
        <w:pageBreakBefore w:val="0"/>
        <w:widowControl w:val="0"/>
        <w:kinsoku/>
        <w:wordWrap/>
        <w:overflowPunct/>
        <w:topLinePunct w:val="0"/>
        <w:autoSpaceDE/>
        <w:autoSpaceDN/>
        <w:bidi w:val="0"/>
        <w:adjustRightInd/>
        <w:snapToGrid/>
        <w:spacing w:before="0" w:after="0" w:line="590" w:lineRule="exact"/>
        <w:ind w:firstLine="640" w:firstLineChars="200"/>
        <w:jc w:val="both"/>
        <w:textAlignment w:val="auto"/>
        <w:outlineLvl w:val="0"/>
        <w:rPr>
          <w:rFonts w:hint="default" w:ascii="Times New Roman" w:hAnsi="Times New Roman" w:cs="Times New Roman"/>
          <w:b w:val="0"/>
          <w:bCs w:val="0"/>
          <w:sz w:val="32"/>
          <w:szCs w:val="32"/>
          <w:lang w:val="en-US" w:eastAsia="zh-CN"/>
        </w:rPr>
        <w:sectPr>
          <w:footerReference r:id="rId3" w:type="default"/>
          <w:pgSz w:w="11906" w:h="16838"/>
          <w:pgMar w:top="1440" w:right="1587" w:bottom="1361" w:left="1587" w:header="851" w:footer="850" w:gutter="0"/>
          <w:pgNumType w:fmt="decimal"/>
          <w:cols w:space="0" w:num="1"/>
          <w:rtlGutter w:val="0"/>
          <w:docGrid w:type="lines" w:linePitch="436"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eastAsia="zh-CN"/>
        </w:rPr>
        <w:t>附件</w:t>
      </w:r>
    </w:p>
    <w:p>
      <w:pPr>
        <w:spacing w:line="360" w:lineRule="auto"/>
        <w:jc w:val="center"/>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梅河口市集体建设用地基准地价表</w:t>
      </w:r>
    </w:p>
    <w:p>
      <w:pPr>
        <w:pStyle w:val="2"/>
        <w:keepNext w:val="0"/>
        <w:keepLines w:val="0"/>
        <w:pageBreakBefore w:val="0"/>
        <w:widowControl w:val="0"/>
        <w:kinsoku/>
        <w:wordWrap/>
        <w:overflowPunct/>
        <w:topLinePunct w:val="0"/>
        <w:autoSpaceDE/>
        <w:autoSpaceDN/>
        <w:bidi w:val="0"/>
        <w:adjustRightInd/>
        <w:snapToGrid/>
        <w:spacing w:before="0" w:after="0" w:line="400" w:lineRule="exact"/>
        <w:jc w:val="right"/>
        <w:textAlignment w:val="auto"/>
        <w:outlineLvl w:val="0"/>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单位：元/平方米</w:t>
      </w:r>
    </w:p>
    <w:tbl>
      <w:tblPr>
        <w:tblStyle w:val="12"/>
        <w:tblpPr w:leftFromText="180" w:rightFromText="180" w:vertAnchor="text" w:horzAnchor="page" w:tblpXSpec="center" w:tblpY="618"/>
        <w:tblOverlap w:val="never"/>
        <w:tblW w:w="14308"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357"/>
        <w:gridCol w:w="1477"/>
        <w:gridCol w:w="1021"/>
        <w:gridCol w:w="976"/>
        <w:gridCol w:w="914"/>
        <w:gridCol w:w="975"/>
        <w:gridCol w:w="1168"/>
        <w:gridCol w:w="1110"/>
        <w:gridCol w:w="1080"/>
        <w:gridCol w:w="123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51" w:hRule="atLeast"/>
          <w:tblHeader/>
          <w:jc w:val="center"/>
        </w:trPr>
        <w:tc>
          <w:tcPr>
            <w:tcW w:w="5834" w:type="dxa"/>
            <w:gridSpan w:val="2"/>
            <w:vMerge w:val="restart"/>
            <w:tcBorders>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级别</w:t>
            </w:r>
          </w:p>
        </w:tc>
        <w:tc>
          <w:tcPr>
            <w:tcW w:w="1997" w:type="dxa"/>
            <w:gridSpan w:val="2"/>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商服用地</w:t>
            </w:r>
          </w:p>
        </w:tc>
        <w:tc>
          <w:tcPr>
            <w:tcW w:w="1889" w:type="dxa"/>
            <w:gridSpan w:val="2"/>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工矿仓储用地</w:t>
            </w:r>
          </w:p>
        </w:tc>
        <w:tc>
          <w:tcPr>
            <w:tcW w:w="2278" w:type="dxa"/>
            <w:gridSpan w:val="2"/>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公共管理与公共服务用地（0801-0808）</w:t>
            </w:r>
          </w:p>
        </w:tc>
        <w:tc>
          <w:tcPr>
            <w:tcW w:w="2310" w:type="dxa"/>
            <w:gridSpan w:val="2"/>
            <w:tcBorders>
              <w:left w:val="nil"/>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公共管理与公共服务用地（0809-0810）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91" w:hRule="atLeast"/>
          <w:tblHeader/>
          <w:jc w:val="center"/>
        </w:trPr>
        <w:tc>
          <w:tcPr>
            <w:tcW w:w="5834" w:type="dxa"/>
            <w:gridSpan w:val="2"/>
            <w:vMerge w:val="continue"/>
            <w:tcBorders>
              <w:top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基准</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地价</w:t>
            </w:r>
          </w:p>
        </w:tc>
        <w:tc>
          <w:tcPr>
            <w:tcW w:w="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土地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纯收益</w:t>
            </w:r>
          </w:p>
        </w:tc>
        <w:tc>
          <w:tcPr>
            <w:tcW w:w="9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基准</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地价</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土地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纯收益</w:t>
            </w:r>
          </w:p>
        </w:tc>
        <w:tc>
          <w:tcPr>
            <w:tcW w:w="1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基准</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地价</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土地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纯收益</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基准</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地价</w:t>
            </w:r>
          </w:p>
        </w:tc>
        <w:tc>
          <w:tcPr>
            <w:tcW w:w="1230" w:type="dxa"/>
            <w:tcBorders>
              <w:top w:val="nil"/>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土地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纯收益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4357" w:type="dxa"/>
            <w:vMerge w:val="restart"/>
            <w:tcBorders>
              <w:top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城区</w:t>
            </w:r>
          </w:p>
        </w:tc>
        <w:tc>
          <w:tcPr>
            <w:tcW w:w="14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Ⅰ级</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1676</w:t>
            </w:r>
          </w:p>
        </w:tc>
        <w:tc>
          <w:tcPr>
            <w:tcW w:w="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419</w:t>
            </w:r>
          </w:p>
        </w:tc>
        <w:tc>
          <w:tcPr>
            <w:tcW w:w="9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416</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83</w:t>
            </w:r>
          </w:p>
        </w:tc>
        <w:tc>
          <w:tcPr>
            <w:tcW w:w="1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731</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73</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416</w:t>
            </w:r>
          </w:p>
        </w:tc>
        <w:tc>
          <w:tcPr>
            <w:tcW w:w="1230" w:type="dxa"/>
            <w:tcBorders>
              <w:top w:val="nil"/>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4357"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p>
        </w:tc>
        <w:tc>
          <w:tcPr>
            <w:tcW w:w="14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Ⅱ级</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1292</w:t>
            </w:r>
          </w:p>
        </w:tc>
        <w:tc>
          <w:tcPr>
            <w:tcW w:w="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323</w:t>
            </w:r>
          </w:p>
        </w:tc>
        <w:tc>
          <w:tcPr>
            <w:tcW w:w="9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354</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71</w:t>
            </w:r>
          </w:p>
        </w:tc>
        <w:tc>
          <w:tcPr>
            <w:tcW w:w="1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622</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62</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354</w:t>
            </w:r>
          </w:p>
        </w:tc>
        <w:tc>
          <w:tcPr>
            <w:tcW w:w="1230" w:type="dxa"/>
            <w:tcBorders>
              <w:top w:val="nil"/>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4357"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p>
        </w:tc>
        <w:tc>
          <w:tcPr>
            <w:tcW w:w="14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Ⅲ级</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1075</w:t>
            </w:r>
          </w:p>
        </w:tc>
        <w:tc>
          <w:tcPr>
            <w:tcW w:w="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269</w:t>
            </w:r>
          </w:p>
        </w:tc>
        <w:tc>
          <w:tcPr>
            <w:tcW w:w="9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290</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58</w:t>
            </w:r>
          </w:p>
        </w:tc>
        <w:tc>
          <w:tcPr>
            <w:tcW w:w="1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536</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54</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290</w:t>
            </w:r>
          </w:p>
        </w:tc>
        <w:tc>
          <w:tcPr>
            <w:tcW w:w="1230" w:type="dxa"/>
            <w:tcBorders>
              <w:top w:val="nil"/>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4357" w:type="dxa"/>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p>
        </w:tc>
        <w:tc>
          <w:tcPr>
            <w:tcW w:w="14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Ⅳ级</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760</w:t>
            </w:r>
          </w:p>
        </w:tc>
        <w:tc>
          <w:tcPr>
            <w:tcW w:w="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190</w:t>
            </w:r>
          </w:p>
        </w:tc>
        <w:tc>
          <w:tcPr>
            <w:tcW w:w="9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235</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47</w:t>
            </w:r>
          </w:p>
        </w:tc>
        <w:tc>
          <w:tcPr>
            <w:tcW w:w="1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389</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39</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235</w:t>
            </w:r>
          </w:p>
        </w:tc>
        <w:tc>
          <w:tcPr>
            <w:tcW w:w="1230" w:type="dxa"/>
            <w:tcBorders>
              <w:top w:val="nil"/>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4357" w:type="dxa"/>
            <w:vMerge w:val="restart"/>
            <w:tcBorders>
              <w:top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山城镇镇区、海龙镇镇区、红梅镇镇区</w:t>
            </w:r>
          </w:p>
        </w:tc>
        <w:tc>
          <w:tcPr>
            <w:tcW w:w="14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一等Ⅰ级</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636</w:t>
            </w:r>
          </w:p>
        </w:tc>
        <w:tc>
          <w:tcPr>
            <w:tcW w:w="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159</w:t>
            </w:r>
          </w:p>
        </w:tc>
        <w:tc>
          <w:tcPr>
            <w:tcW w:w="9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234</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47</w:t>
            </w:r>
          </w:p>
        </w:tc>
        <w:tc>
          <w:tcPr>
            <w:tcW w:w="1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321</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32</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234</w:t>
            </w:r>
          </w:p>
        </w:tc>
        <w:tc>
          <w:tcPr>
            <w:tcW w:w="1230" w:type="dxa"/>
            <w:tcBorders>
              <w:top w:val="nil"/>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4357" w:type="dxa"/>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p>
        </w:tc>
        <w:tc>
          <w:tcPr>
            <w:tcW w:w="14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一等Ⅱ级</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512</w:t>
            </w:r>
          </w:p>
        </w:tc>
        <w:tc>
          <w:tcPr>
            <w:tcW w:w="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128</w:t>
            </w:r>
          </w:p>
        </w:tc>
        <w:tc>
          <w:tcPr>
            <w:tcW w:w="9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215</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43</w:t>
            </w:r>
          </w:p>
        </w:tc>
        <w:tc>
          <w:tcPr>
            <w:tcW w:w="1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264</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26</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215</w:t>
            </w:r>
          </w:p>
        </w:tc>
        <w:tc>
          <w:tcPr>
            <w:tcW w:w="1230" w:type="dxa"/>
            <w:tcBorders>
              <w:top w:val="nil"/>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4357" w:type="dxa"/>
            <w:vMerge w:val="restart"/>
            <w:tcBorders>
              <w:top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山城镇、海龙镇、红梅镇</w:t>
            </w:r>
          </w:p>
        </w:tc>
        <w:tc>
          <w:tcPr>
            <w:tcW w:w="14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一等Ⅲ级</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436</w:t>
            </w:r>
          </w:p>
        </w:tc>
        <w:tc>
          <w:tcPr>
            <w:tcW w:w="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109</w:t>
            </w:r>
          </w:p>
        </w:tc>
        <w:tc>
          <w:tcPr>
            <w:tcW w:w="9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194</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39</w:t>
            </w:r>
          </w:p>
        </w:tc>
        <w:tc>
          <w:tcPr>
            <w:tcW w:w="1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238</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24</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194</w:t>
            </w:r>
          </w:p>
        </w:tc>
        <w:tc>
          <w:tcPr>
            <w:tcW w:w="1230" w:type="dxa"/>
            <w:tcBorders>
              <w:top w:val="nil"/>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4357" w:type="dxa"/>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p>
        </w:tc>
        <w:tc>
          <w:tcPr>
            <w:tcW w:w="14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一等Ⅳ级</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349</w:t>
            </w:r>
          </w:p>
        </w:tc>
        <w:tc>
          <w:tcPr>
            <w:tcW w:w="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87</w:t>
            </w:r>
          </w:p>
        </w:tc>
        <w:tc>
          <w:tcPr>
            <w:tcW w:w="9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174</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35</w:t>
            </w:r>
          </w:p>
        </w:tc>
        <w:tc>
          <w:tcPr>
            <w:tcW w:w="1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214</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174</w:t>
            </w:r>
          </w:p>
        </w:tc>
        <w:tc>
          <w:tcPr>
            <w:tcW w:w="1230" w:type="dxa"/>
            <w:tcBorders>
              <w:top w:val="nil"/>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4357" w:type="dxa"/>
            <w:vMerge w:val="restart"/>
            <w:tcBorders>
              <w:top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曙光镇、黑山头镇、李炉乡、湾龙镇</w:t>
            </w:r>
          </w:p>
        </w:tc>
        <w:tc>
          <w:tcPr>
            <w:tcW w:w="14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二等Ⅰ级</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558</w:t>
            </w:r>
          </w:p>
        </w:tc>
        <w:tc>
          <w:tcPr>
            <w:tcW w:w="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140</w:t>
            </w:r>
          </w:p>
        </w:tc>
        <w:tc>
          <w:tcPr>
            <w:tcW w:w="9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212</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42</w:t>
            </w:r>
          </w:p>
        </w:tc>
        <w:tc>
          <w:tcPr>
            <w:tcW w:w="1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276</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28</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212</w:t>
            </w:r>
          </w:p>
        </w:tc>
        <w:tc>
          <w:tcPr>
            <w:tcW w:w="1230" w:type="dxa"/>
            <w:tcBorders>
              <w:top w:val="nil"/>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4357" w:type="dxa"/>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p>
        </w:tc>
        <w:tc>
          <w:tcPr>
            <w:tcW w:w="14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二等Ⅱ级</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446</w:t>
            </w:r>
          </w:p>
        </w:tc>
        <w:tc>
          <w:tcPr>
            <w:tcW w:w="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112</w:t>
            </w:r>
          </w:p>
        </w:tc>
        <w:tc>
          <w:tcPr>
            <w:tcW w:w="9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191</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38</w:t>
            </w:r>
          </w:p>
        </w:tc>
        <w:tc>
          <w:tcPr>
            <w:tcW w:w="1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249</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25</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191</w:t>
            </w:r>
          </w:p>
        </w:tc>
        <w:tc>
          <w:tcPr>
            <w:tcW w:w="1230" w:type="dxa"/>
            <w:tcBorders>
              <w:top w:val="nil"/>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49" w:hRule="atLeast"/>
          <w:jc w:val="center"/>
        </w:trPr>
        <w:tc>
          <w:tcPr>
            <w:tcW w:w="4357" w:type="dxa"/>
            <w:vMerge w:val="restart"/>
            <w:tcBorders>
              <w:top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牛心顶镇、新合镇、进化镇、中和镇、康大营镇、一座营镇、水道镇、杏岭镇、小杨乡、双兴镇、吉乐乡、兴华镇</w:t>
            </w:r>
          </w:p>
        </w:tc>
        <w:tc>
          <w:tcPr>
            <w:tcW w:w="14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三等Ⅰ级</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420</w:t>
            </w:r>
          </w:p>
        </w:tc>
        <w:tc>
          <w:tcPr>
            <w:tcW w:w="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105</w:t>
            </w:r>
          </w:p>
        </w:tc>
        <w:tc>
          <w:tcPr>
            <w:tcW w:w="9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183</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37</w:t>
            </w:r>
          </w:p>
        </w:tc>
        <w:tc>
          <w:tcPr>
            <w:tcW w:w="1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208</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183</w:t>
            </w:r>
          </w:p>
        </w:tc>
        <w:tc>
          <w:tcPr>
            <w:tcW w:w="1230" w:type="dxa"/>
            <w:tcBorders>
              <w:top w:val="nil"/>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4357"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p>
        </w:tc>
        <w:tc>
          <w:tcPr>
            <w:tcW w:w="1477"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三等Ⅱ级</w:t>
            </w:r>
          </w:p>
        </w:tc>
        <w:tc>
          <w:tcPr>
            <w:tcW w:w="1021"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336</w:t>
            </w:r>
          </w:p>
        </w:tc>
        <w:tc>
          <w:tcPr>
            <w:tcW w:w="976"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84</w:t>
            </w:r>
          </w:p>
        </w:tc>
        <w:tc>
          <w:tcPr>
            <w:tcW w:w="914"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168</w:t>
            </w:r>
          </w:p>
        </w:tc>
        <w:tc>
          <w:tcPr>
            <w:tcW w:w="975"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34</w:t>
            </w:r>
          </w:p>
        </w:tc>
        <w:tc>
          <w:tcPr>
            <w:tcW w:w="1168"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188</w:t>
            </w:r>
          </w:p>
        </w:tc>
        <w:tc>
          <w:tcPr>
            <w:tcW w:w="1110"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19</w:t>
            </w:r>
          </w:p>
        </w:tc>
        <w:tc>
          <w:tcPr>
            <w:tcW w:w="1080"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165</w:t>
            </w:r>
          </w:p>
        </w:tc>
        <w:tc>
          <w:tcPr>
            <w:tcW w:w="1230" w:type="dxa"/>
            <w:tcBorders>
              <w:top w:val="nil"/>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17</w:t>
            </w:r>
          </w:p>
        </w:tc>
      </w:tr>
    </w:tbl>
    <w:p>
      <w:pPr>
        <w:keepNext w:val="0"/>
        <w:keepLines w:val="0"/>
        <w:pageBreakBefore w:val="0"/>
        <w:widowControl w:val="0"/>
        <w:kinsoku/>
        <w:wordWrap/>
        <w:overflowPunct/>
        <w:topLinePunct w:val="0"/>
        <w:autoSpaceDE/>
        <w:autoSpaceDN/>
        <w:bidi w:val="0"/>
        <w:adjustRightInd/>
        <w:snapToGrid/>
        <w:spacing w:line="40" w:lineRule="exact"/>
        <w:textAlignment w:val="auto"/>
        <w:outlineLvl w:val="9"/>
        <w:rPr>
          <w:rFonts w:hint="default"/>
          <w:sz w:val="18"/>
          <w:szCs w:val="18"/>
          <w:lang w:val="en-US" w:eastAsia="zh-CN"/>
        </w:rPr>
      </w:pPr>
    </w:p>
    <w:sectPr>
      <w:footerReference r:id="rId4" w:type="default"/>
      <w:pgSz w:w="16838" w:h="11906" w:orient="landscape"/>
      <w:pgMar w:top="1361" w:right="1304" w:bottom="1361" w:left="1304" w:header="851" w:footer="850" w:gutter="0"/>
      <w:pgNumType w:fmt="decimal"/>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方正仿宋_GBK"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default" w:ascii="Times New Roman" w:hAnsi="Times New Roman" w:eastAsia="方正仿宋_GBK"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方正仿宋_GBK" w:cs="Times New Roman"/>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ascii="Times New Roman" w:hAnsi="Times New Roman" w:eastAsia="方正仿宋_GBK" w:cs="Times New Roman"/>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方正仿宋_GBK"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default" w:ascii="Times New Roman" w:hAnsi="Times New Roman" w:eastAsia="方正仿宋_GBK"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方正仿宋_GBK" w:cs="Times New Roman"/>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ascii="Times New Roman" w:hAnsi="Times New Roman" w:eastAsia="方正仿宋_GBK" w:cs="Times New Roman"/>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4F740169-CA93-4761-8050-BF562006E61B}"/>
    <w:docVar w:name="DocumentName" w:val="梅政发11号"/>
  </w:docVars>
  <w:rsids>
    <w:rsidRoot w:val="00826781"/>
    <w:rsid w:val="0038388D"/>
    <w:rsid w:val="00415436"/>
    <w:rsid w:val="004E0BB9"/>
    <w:rsid w:val="005620AF"/>
    <w:rsid w:val="005C4EE3"/>
    <w:rsid w:val="005F3558"/>
    <w:rsid w:val="00607A42"/>
    <w:rsid w:val="006276D7"/>
    <w:rsid w:val="00826781"/>
    <w:rsid w:val="008E2011"/>
    <w:rsid w:val="00C9217F"/>
    <w:rsid w:val="00F927E6"/>
    <w:rsid w:val="01492231"/>
    <w:rsid w:val="01965379"/>
    <w:rsid w:val="01E82965"/>
    <w:rsid w:val="021C4C53"/>
    <w:rsid w:val="021E6A60"/>
    <w:rsid w:val="02C75ED1"/>
    <w:rsid w:val="03E26C1B"/>
    <w:rsid w:val="04543141"/>
    <w:rsid w:val="0468171C"/>
    <w:rsid w:val="04B31829"/>
    <w:rsid w:val="056C0CAE"/>
    <w:rsid w:val="05B3089C"/>
    <w:rsid w:val="05EC0D2B"/>
    <w:rsid w:val="0654095C"/>
    <w:rsid w:val="074315CE"/>
    <w:rsid w:val="074C4A7A"/>
    <w:rsid w:val="0784411A"/>
    <w:rsid w:val="07FB045E"/>
    <w:rsid w:val="082950D2"/>
    <w:rsid w:val="08427DC1"/>
    <w:rsid w:val="0883484E"/>
    <w:rsid w:val="094E1B7C"/>
    <w:rsid w:val="0B2506A8"/>
    <w:rsid w:val="0BE740F4"/>
    <w:rsid w:val="0CAE37A1"/>
    <w:rsid w:val="0D8419E0"/>
    <w:rsid w:val="0DE10AA6"/>
    <w:rsid w:val="0E420044"/>
    <w:rsid w:val="0E9F6BCA"/>
    <w:rsid w:val="0EA27BE9"/>
    <w:rsid w:val="0F1B4089"/>
    <w:rsid w:val="0F2A331C"/>
    <w:rsid w:val="0F504374"/>
    <w:rsid w:val="0F5F6BAF"/>
    <w:rsid w:val="0F632A21"/>
    <w:rsid w:val="0F971D05"/>
    <w:rsid w:val="0FE41E08"/>
    <w:rsid w:val="0FF60262"/>
    <w:rsid w:val="10116DD1"/>
    <w:rsid w:val="1031399E"/>
    <w:rsid w:val="10700CED"/>
    <w:rsid w:val="10D86D4A"/>
    <w:rsid w:val="10F15EAB"/>
    <w:rsid w:val="11671AC5"/>
    <w:rsid w:val="116E218D"/>
    <w:rsid w:val="11E554BA"/>
    <w:rsid w:val="11F439D6"/>
    <w:rsid w:val="12120FAD"/>
    <w:rsid w:val="12674797"/>
    <w:rsid w:val="12693BFE"/>
    <w:rsid w:val="126D0192"/>
    <w:rsid w:val="12765FFD"/>
    <w:rsid w:val="12BD3B78"/>
    <w:rsid w:val="13263016"/>
    <w:rsid w:val="134248EE"/>
    <w:rsid w:val="134F42B5"/>
    <w:rsid w:val="1381294A"/>
    <w:rsid w:val="14605DB4"/>
    <w:rsid w:val="14A330C5"/>
    <w:rsid w:val="14E46848"/>
    <w:rsid w:val="14ED4DDD"/>
    <w:rsid w:val="15856ABF"/>
    <w:rsid w:val="15FA058D"/>
    <w:rsid w:val="16DC3CB8"/>
    <w:rsid w:val="18936487"/>
    <w:rsid w:val="18F60823"/>
    <w:rsid w:val="19AE0947"/>
    <w:rsid w:val="19DB1246"/>
    <w:rsid w:val="19F01D5C"/>
    <w:rsid w:val="1A020F72"/>
    <w:rsid w:val="1A193B5E"/>
    <w:rsid w:val="1A8E45D4"/>
    <w:rsid w:val="1BAD5710"/>
    <w:rsid w:val="1BE11BA1"/>
    <w:rsid w:val="1C147ABB"/>
    <w:rsid w:val="1C196C18"/>
    <w:rsid w:val="1C675F0D"/>
    <w:rsid w:val="1D1A481C"/>
    <w:rsid w:val="1D407C9B"/>
    <w:rsid w:val="1E241763"/>
    <w:rsid w:val="1EEA6A3C"/>
    <w:rsid w:val="1F392127"/>
    <w:rsid w:val="1F3B22F8"/>
    <w:rsid w:val="1F687C2A"/>
    <w:rsid w:val="1F8A0A7B"/>
    <w:rsid w:val="1FAF29A9"/>
    <w:rsid w:val="1FB501BB"/>
    <w:rsid w:val="20951FB5"/>
    <w:rsid w:val="20B0217E"/>
    <w:rsid w:val="216B2BAC"/>
    <w:rsid w:val="21B21384"/>
    <w:rsid w:val="21D35E87"/>
    <w:rsid w:val="220C670B"/>
    <w:rsid w:val="22A71992"/>
    <w:rsid w:val="22AF55A1"/>
    <w:rsid w:val="2425532E"/>
    <w:rsid w:val="24580ED9"/>
    <w:rsid w:val="24E02B26"/>
    <w:rsid w:val="25A24D76"/>
    <w:rsid w:val="26487CCE"/>
    <w:rsid w:val="273A6883"/>
    <w:rsid w:val="2842779D"/>
    <w:rsid w:val="286A1D7C"/>
    <w:rsid w:val="299A36D7"/>
    <w:rsid w:val="2A0E2024"/>
    <w:rsid w:val="2A3710A5"/>
    <w:rsid w:val="2ADA1003"/>
    <w:rsid w:val="2BC124A7"/>
    <w:rsid w:val="2BE547FA"/>
    <w:rsid w:val="2C026B99"/>
    <w:rsid w:val="2C284523"/>
    <w:rsid w:val="2D2962FC"/>
    <w:rsid w:val="2D6A687B"/>
    <w:rsid w:val="2DCC17AB"/>
    <w:rsid w:val="2E8A513C"/>
    <w:rsid w:val="2F250C48"/>
    <w:rsid w:val="2F6B1B85"/>
    <w:rsid w:val="30276556"/>
    <w:rsid w:val="30464DC6"/>
    <w:rsid w:val="30EE7B57"/>
    <w:rsid w:val="30F20884"/>
    <w:rsid w:val="310A7B04"/>
    <w:rsid w:val="31B07A72"/>
    <w:rsid w:val="31F637C3"/>
    <w:rsid w:val="31F94BAE"/>
    <w:rsid w:val="32067FE3"/>
    <w:rsid w:val="3339390B"/>
    <w:rsid w:val="33496852"/>
    <w:rsid w:val="339B0158"/>
    <w:rsid w:val="352B100D"/>
    <w:rsid w:val="35484B68"/>
    <w:rsid w:val="35491F69"/>
    <w:rsid w:val="35693329"/>
    <w:rsid w:val="35A10020"/>
    <w:rsid w:val="35CD7571"/>
    <w:rsid w:val="36233554"/>
    <w:rsid w:val="368C74EC"/>
    <w:rsid w:val="36B40C3A"/>
    <w:rsid w:val="36D65CF9"/>
    <w:rsid w:val="3741110E"/>
    <w:rsid w:val="376156CE"/>
    <w:rsid w:val="37870462"/>
    <w:rsid w:val="378D5E78"/>
    <w:rsid w:val="3819322C"/>
    <w:rsid w:val="382E2B77"/>
    <w:rsid w:val="384A1041"/>
    <w:rsid w:val="393264D9"/>
    <w:rsid w:val="39E5683B"/>
    <w:rsid w:val="3B510200"/>
    <w:rsid w:val="3B901A35"/>
    <w:rsid w:val="3BEB6229"/>
    <w:rsid w:val="3C324A8E"/>
    <w:rsid w:val="3C8D6D53"/>
    <w:rsid w:val="3D01157D"/>
    <w:rsid w:val="3D254111"/>
    <w:rsid w:val="3DA05B97"/>
    <w:rsid w:val="3DCD463D"/>
    <w:rsid w:val="3EAF4DF3"/>
    <w:rsid w:val="3EB82BA8"/>
    <w:rsid w:val="40196F54"/>
    <w:rsid w:val="40367901"/>
    <w:rsid w:val="405F1780"/>
    <w:rsid w:val="4096659D"/>
    <w:rsid w:val="40C33F49"/>
    <w:rsid w:val="40E52FF9"/>
    <w:rsid w:val="413A7A98"/>
    <w:rsid w:val="41705EF5"/>
    <w:rsid w:val="41C95949"/>
    <w:rsid w:val="41E27C8B"/>
    <w:rsid w:val="41E849DC"/>
    <w:rsid w:val="421C6084"/>
    <w:rsid w:val="421E1453"/>
    <w:rsid w:val="4232172F"/>
    <w:rsid w:val="42657D43"/>
    <w:rsid w:val="43BF5969"/>
    <w:rsid w:val="43C92C57"/>
    <w:rsid w:val="43CA65E7"/>
    <w:rsid w:val="43F90555"/>
    <w:rsid w:val="4436358D"/>
    <w:rsid w:val="44B01D13"/>
    <w:rsid w:val="44D34F81"/>
    <w:rsid w:val="44F76C6B"/>
    <w:rsid w:val="452E6200"/>
    <w:rsid w:val="456D2628"/>
    <w:rsid w:val="460D7812"/>
    <w:rsid w:val="4635502D"/>
    <w:rsid w:val="463E212A"/>
    <w:rsid w:val="46FB08B6"/>
    <w:rsid w:val="47322CF1"/>
    <w:rsid w:val="47372B77"/>
    <w:rsid w:val="47EE51E4"/>
    <w:rsid w:val="482060D5"/>
    <w:rsid w:val="48934251"/>
    <w:rsid w:val="48C12E20"/>
    <w:rsid w:val="49A14266"/>
    <w:rsid w:val="49CB1F1C"/>
    <w:rsid w:val="4AED6082"/>
    <w:rsid w:val="4B09208F"/>
    <w:rsid w:val="4B6C0FCF"/>
    <w:rsid w:val="4B710C27"/>
    <w:rsid w:val="4B7433AC"/>
    <w:rsid w:val="4C3805D7"/>
    <w:rsid w:val="4C53130F"/>
    <w:rsid w:val="4C7878FC"/>
    <w:rsid w:val="4CDD258C"/>
    <w:rsid w:val="4CEF73BA"/>
    <w:rsid w:val="4D54086A"/>
    <w:rsid w:val="4D603F1D"/>
    <w:rsid w:val="4D7E26FE"/>
    <w:rsid w:val="4E306921"/>
    <w:rsid w:val="4E6B2597"/>
    <w:rsid w:val="4EE6141C"/>
    <w:rsid w:val="4F2335D9"/>
    <w:rsid w:val="4F5119C8"/>
    <w:rsid w:val="4F77106A"/>
    <w:rsid w:val="4F9F07F4"/>
    <w:rsid w:val="4FA730E4"/>
    <w:rsid w:val="4FD6683E"/>
    <w:rsid w:val="50126D9D"/>
    <w:rsid w:val="502405FE"/>
    <w:rsid w:val="505C3473"/>
    <w:rsid w:val="50F65DEB"/>
    <w:rsid w:val="50F8660B"/>
    <w:rsid w:val="511E1081"/>
    <w:rsid w:val="515E7CA4"/>
    <w:rsid w:val="53441CF8"/>
    <w:rsid w:val="535F57FD"/>
    <w:rsid w:val="53634759"/>
    <w:rsid w:val="54124E27"/>
    <w:rsid w:val="554E22BC"/>
    <w:rsid w:val="555106DD"/>
    <w:rsid w:val="55793949"/>
    <w:rsid w:val="55A26E6E"/>
    <w:rsid w:val="56387310"/>
    <w:rsid w:val="564A3FE1"/>
    <w:rsid w:val="56824C73"/>
    <w:rsid w:val="56D21127"/>
    <w:rsid w:val="572D760C"/>
    <w:rsid w:val="577809EE"/>
    <w:rsid w:val="57A838D1"/>
    <w:rsid w:val="581455D8"/>
    <w:rsid w:val="592D5B6C"/>
    <w:rsid w:val="5A3D0D96"/>
    <w:rsid w:val="5AEB1D39"/>
    <w:rsid w:val="5B7C5B4F"/>
    <w:rsid w:val="5C5A3164"/>
    <w:rsid w:val="5C9B2ADB"/>
    <w:rsid w:val="5CB0795A"/>
    <w:rsid w:val="5D013CB2"/>
    <w:rsid w:val="5DA83EAD"/>
    <w:rsid w:val="5DD6272B"/>
    <w:rsid w:val="5E35119B"/>
    <w:rsid w:val="5F85773F"/>
    <w:rsid w:val="5F9F1A03"/>
    <w:rsid w:val="5FDF2BFC"/>
    <w:rsid w:val="60480C6B"/>
    <w:rsid w:val="61AE008D"/>
    <w:rsid w:val="62052BCC"/>
    <w:rsid w:val="62100362"/>
    <w:rsid w:val="62652829"/>
    <w:rsid w:val="62A44E02"/>
    <w:rsid w:val="62C50C62"/>
    <w:rsid w:val="632A5FFB"/>
    <w:rsid w:val="633D7BA9"/>
    <w:rsid w:val="63632BDD"/>
    <w:rsid w:val="63BA2AF8"/>
    <w:rsid w:val="63EA297F"/>
    <w:rsid w:val="64917341"/>
    <w:rsid w:val="64AB1071"/>
    <w:rsid w:val="65552BC4"/>
    <w:rsid w:val="6558341F"/>
    <w:rsid w:val="667010F6"/>
    <w:rsid w:val="66C93FCA"/>
    <w:rsid w:val="67716EEC"/>
    <w:rsid w:val="683076E7"/>
    <w:rsid w:val="68466D62"/>
    <w:rsid w:val="68D277B3"/>
    <w:rsid w:val="695652EC"/>
    <w:rsid w:val="698B7B43"/>
    <w:rsid w:val="699872D4"/>
    <w:rsid w:val="699E647D"/>
    <w:rsid w:val="6A4A2685"/>
    <w:rsid w:val="6A6B3EFD"/>
    <w:rsid w:val="6A6B4090"/>
    <w:rsid w:val="6ACD6DDA"/>
    <w:rsid w:val="6AD43ED1"/>
    <w:rsid w:val="6AF341CE"/>
    <w:rsid w:val="6B33565A"/>
    <w:rsid w:val="6B7172D9"/>
    <w:rsid w:val="6BB325AD"/>
    <w:rsid w:val="6BDD056C"/>
    <w:rsid w:val="6C2D5B0C"/>
    <w:rsid w:val="6C4F0F92"/>
    <w:rsid w:val="6C575F1D"/>
    <w:rsid w:val="6C59589A"/>
    <w:rsid w:val="6CA24070"/>
    <w:rsid w:val="6D245C7A"/>
    <w:rsid w:val="6DA33ACF"/>
    <w:rsid w:val="6DE76037"/>
    <w:rsid w:val="6E185579"/>
    <w:rsid w:val="6E3F2964"/>
    <w:rsid w:val="6F7C30B9"/>
    <w:rsid w:val="703D4FD4"/>
    <w:rsid w:val="71046BE6"/>
    <w:rsid w:val="717B778D"/>
    <w:rsid w:val="720D4F9A"/>
    <w:rsid w:val="73864575"/>
    <w:rsid w:val="740915D6"/>
    <w:rsid w:val="741E35A0"/>
    <w:rsid w:val="742D02FA"/>
    <w:rsid w:val="7563186B"/>
    <w:rsid w:val="75641436"/>
    <w:rsid w:val="756967C1"/>
    <w:rsid w:val="75960C52"/>
    <w:rsid w:val="75FA50AA"/>
    <w:rsid w:val="76557688"/>
    <w:rsid w:val="768D53FD"/>
    <w:rsid w:val="76E75624"/>
    <w:rsid w:val="77FF3C36"/>
    <w:rsid w:val="78BE7D21"/>
    <w:rsid w:val="790E08CF"/>
    <w:rsid w:val="79843BA0"/>
    <w:rsid w:val="7A227413"/>
    <w:rsid w:val="7A4124D0"/>
    <w:rsid w:val="7B2B3337"/>
    <w:rsid w:val="7B5B7E0E"/>
    <w:rsid w:val="7BFE6A3B"/>
    <w:rsid w:val="7C0C2C04"/>
    <w:rsid w:val="7C6C6798"/>
    <w:rsid w:val="7CB07B5F"/>
    <w:rsid w:val="7D260E08"/>
    <w:rsid w:val="7D5D60EE"/>
    <w:rsid w:val="7DE97A98"/>
    <w:rsid w:val="7E202636"/>
    <w:rsid w:val="7FBB6B72"/>
    <w:rsid w:val="7FEB3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spacing w:line="560" w:lineRule="exact"/>
    </w:pPr>
    <w:rPr>
      <w:rFonts w:ascii="方正仿宋_GBK" w:hAnsi="黑体" w:eastAsia="方正仿宋_GBK" w:cs="Times New Roman"/>
      <w:kern w:val="2"/>
      <w:sz w:val="32"/>
      <w:szCs w:val="32"/>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character" w:default="1" w:styleId="8">
    <w:name w:val="Default Paragraph Font"/>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qFormat/>
    <w:uiPriority w:val="99"/>
    <w:pPr>
      <w:spacing w:before="240" w:after="60"/>
      <w:jc w:val="center"/>
      <w:outlineLvl w:val="0"/>
    </w:pPr>
    <w:rPr>
      <w:rFonts w:ascii="Arial" w:hAnsi="Arial" w:cs="Arial"/>
      <w:b/>
      <w:bCs/>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unhideWhenUsed/>
    <w:qFormat/>
    <w:uiPriority w:val="99"/>
    <w:pPr>
      <w:ind w:left="420" w:leftChars="200"/>
    </w:pPr>
    <w:rPr>
      <w:rFonts w:hint="eastAsia"/>
      <w:sz w:val="21"/>
    </w:rPr>
  </w:style>
  <w:style w:type="paragraph" w:styleId="7">
    <w:name w:val="Normal (Web)"/>
    <w:basedOn w:val="1"/>
    <w:semiHidden/>
    <w:unhideWhenUsed/>
    <w:qFormat/>
    <w:uiPriority w:val="99"/>
    <w:rPr>
      <w:rFonts w:ascii="Times New Roman" w:hAnsi="Times New Roman"/>
      <w:sz w:val="24"/>
    </w:rPr>
  </w:style>
  <w:style w:type="character" w:styleId="9">
    <w:name w:val="Strong"/>
    <w:basedOn w:val="8"/>
    <w:qFormat/>
    <w:uiPriority w:val="0"/>
    <w:rPr>
      <w:rFonts w:cs="Times New Roman"/>
      <w:b/>
      <w:bCs/>
    </w:rPr>
  </w:style>
  <w:style w:type="character" w:styleId="10">
    <w:name w:val="page number"/>
    <w:basedOn w:val="8"/>
    <w:qFormat/>
    <w:uiPriority w:val="0"/>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3">
    <w:name w:val="disabled"/>
    <w:basedOn w:val="8"/>
    <w:qFormat/>
    <w:uiPriority w:val="0"/>
    <w:rPr>
      <w:color w:val="FFE3C6"/>
      <w:bdr w:val="single" w:color="FFE3C6" w:sz="6" w:space="0"/>
    </w:rPr>
  </w:style>
  <w:style w:type="character" w:customStyle="1" w:styleId="14">
    <w:name w:val="current"/>
    <w:basedOn w:val="8"/>
    <w:qFormat/>
    <w:uiPriority w:val="0"/>
    <w:rPr>
      <w:b/>
      <w:color w:val="FF6500"/>
      <w:bdr w:val="single" w:color="FF6500" w:sz="6" w:space="0"/>
      <w:shd w:val="clear" w:fill="FFBE94"/>
    </w:rPr>
  </w:style>
  <w:style w:type="character" w:customStyle="1" w:styleId="15">
    <w:name w:val="NormalCharacter"/>
    <w:link w:val="1"/>
    <w:semiHidden/>
    <w:qFormat/>
    <w:uiPriority w:val="0"/>
    <w:rPr>
      <w:rFonts w:ascii="方正仿宋_GBK" w:hAnsi="黑体" w:eastAsia="方正仿宋_GBK" w:cs="Times New Roman"/>
      <w:kern w:val="2"/>
      <w:sz w:val="32"/>
      <w:szCs w:val="32"/>
      <w:lang w:val="en-US" w:eastAsia="zh-CN" w:bidi="ar-SA"/>
    </w:rPr>
  </w:style>
  <w:style w:type="character" w:customStyle="1" w:styleId="16">
    <w:name w:val="font11"/>
    <w:basedOn w:val="8"/>
    <w:qFormat/>
    <w:uiPriority w:val="0"/>
    <w:rPr>
      <w:rFonts w:hint="eastAsia" w:ascii="仿宋" w:hAnsi="仿宋" w:eastAsia="仿宋" w:cs="仿宋"/>
      <w:color w:val="000000"/>
      <w:sz w:val="28"/>
      <w:szCs w:val="28"/>
      <w:u w:val="none"/>
    </w:rPr>
  </w:style>
  <w:style w:type="character" w:customStyle="1" w:styleId="17">
    <w:name w:val="font01"/>
    <w:basedOn w:val="8"/>
    <w:qFormat/>
    <w:uiPriority w:val="0"/>
    <w:rPr>
      <w:rFonts w:hint="eastAsia" w:ascii="仿宋" w:hAnsi="仿宋" w:eastAsia="仿宋" w:cs="仿宋"/>
      <w:b/>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123DD-1D36-4FC0-AD61-51E08A308CA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9281</Words>
  <Characters>9399</Characters>
  <Lines>10</Lines>
  <Paragraphs>3</Paragraphs>
  <TotalTime>7</TotalTime>
  <ScaleCrop>false</ScaleCrop>
  <LinksUpToDate>false</LinksUpToDate>
  <CharactersWithSpaces>9530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2020-08-11T07:44:00Z</dcterms:created>
  <dc:creator>微软用户</dc:creator>
  <cp:lastModifiedBy>贾鸿粼</cp:lastModifiedBy>
  <cp:lastPrinted>2022-05-10T06:18:00Z</cp:lastPrinted>
  <dcterms:modified xsi:type="dcterms:W3CDTF">2022-05-16T06:53:32Z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B61B0E02E52D48D8BC6A69E7ACF382C4</vt:lpwstr>
  </property>
  <property fmtid="{D5CDD505-2E9C-101B-9397-08002B2CF9AE}" pid="4" name="KSOSaveFontToCloudKey">
    <vt:lpwstr>372251384_btnclosed</vt:lpwstr>
  </property>
</Properties>
</file>