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30"/>
          <w:szCs w:val="30"/>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30"/>
          <w:szCs w:val="30"/>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8"/>
          <w:szCs w:val="48"/>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8"/>
          <w:szCs w:val="48"/>
          <w14:textFill>
            <w14:solidFill>
              <w14:schemeClr w14:val="tx1"/>
            </w14:solidFill>
          </w14:textFill>
        </w:rPr>
      </w:pPr>
    </w:p>
    <w:p>
      <w:pPr>
        <w:widowControl w:val="0"/>
        <w:kinsoku/>
        <w:wordWrap/>
        <w:overflowPunct/>
        <w:topLinePunct w:val="0"/>
        <w:autoSpaceDE/>
        <w:autoSpaceDN/>
        <w:bidi w:val="0"/>
        <w:jc w:val="center"/>
        <w:textAlignment w:val="auto"/>
        <w:rPr>
          <w:rFonts w:hint="eastAsia" w:ascii="方正小标宋_GBK" w:hAnsi="方正小标宋_GBK" w:eastAsia="方正小标宋_GBK" w:cs="方正小标宋_GBK"/>
          <w:b w:val="0"/>
          <w:bCs w:val="0"/>
          <w:caps w:val="0"/>
          <w:smallCaps w:val="0"/>
          <w:color w:val="000000" w:themeColor="text1"/>
          <w:kern w:val="0"/>
          <w:sz w:val="52"/>
          <w:szCs w:val="52"/>
          <w14:textFill>
            <w14:solidFill>
              <w14:schemeClr w14:val="tx1"/>
            </w14:solidFill>
          </w14:textFill>
        </w:rPr>
      </w:pPr>
      <w:r>
        <w:rPr>
          <w:rFonts w:hint="eastAsia" w:ascii="方正小标宋_GBK" w:hAnsi="方正小标宋_GBK" w:eastAsia="方正小标宋_GBK" w:cs="方正小标宋_GBK"/>
          <w:b w:val="0"/>
          <w:bCs w:val="0"/>
          <w:caps w:val="0"/>
          <w:smallCaps w:val="0"/>
          <w:color w:val="000000" w:themeColor="text1"/>
          <w:kern w:val="0"/>
          <w:sz w:val="52"/>
          <w:szCs w:val="52"/>
          <w14:textFill>
            <w14:solidFill>
              <w14:schemeClr w14:val="tx1"/>
            </w14:solidFill>
          </w14:textFill>
        </w:rPr>
        <w:t>梅河口市“十四五”</w:t>
      </w:r>
    </w:p>
    <w:p>
      <w:pPr>
        <w:widowControl w:val="0"/>
        <w:kinsoku/>
        <w:wordWrap/>
        <w:overflowPunct/>
        <w:topLinePunct w:val="0"/>
        <w:autoSpaceDE/>
        <w:autoSpaceDN/>
        <w:bidi w:val="0"/>
        <w:jc w:val="center"/>
        <w:textAlignment w:val="auto"/>
        <w:rPr>
          <w:rFonts w:hint="eastAsia" w:ascii="方正小标宋_GBK" w:hAnsi="方正小标宋_GBK" w:eastAsia="方正小标宋_GBK" w:cs="方正小标宋_GBK"/>
          <w:b w:val="0"/>
          <w:bCs w:val="0"/>
          <w:caps w:val="0"/>
          <w:smallCaps w:val="0"/>
          <w:color w:val="000000" w:themeColor="text1"/>
          <w:kern w:val="0"/>
          <w:sz w:val="52"/>
          <w:szCs w:val="52"/>
          <w14:textFill>
            <w14:solidFill>
              <w14:schemeClr w14:val="tx1"/>
            </w14:solidFill>
          </w14:textFill>
        </w:rPr>
      </w:pPr>
      <w:r>
        <w:rPr>
          <w:rFonts w:hint="eastAsia" w:ascii="方正小标宋_GBK" w:hAnsi="方正小标宋_GBK" w:eastAsia="方正小标宋_GBK" w:cs="方正小标宋_GBK"/>
          <w:b w:val="0"/>
          <w:bCs w:val="0"/>
          <w:caps w:val="0"/>
          <w:smallCaps w:val="0"/>
          <w:color w:val="000000" w:themeColor="text1"/>
          <w:kern w:val="0"/>
          <w:sz w:val="52"/>
          <w:szCs w:val="52"/>
          <w14:textFill>
            <w14:solidFill>
              <w14:schemeClr w14:val="tx1"/>
            </w14:solidFill>
          </w14:textFill>
        </w:rPr>
        <w:t>固体废物污染防治规划</w:t>
      </w:r>
    </w:p>
    <w:p>
      <w:pPr>
        <w:widowControl w:val="0"/>
        <w:kinsoku/>
        <w:wordWrap/>
        <w:overflowPunct/>
        <w:topLinePunct w:val="0"/>
        <w:autoSpaceDE/>
        <w:autoSpaceDN/>
        <w:bidi w:val="0"/>
        <w:textAlignment w:val="auto"/>
        <w:rPr>
          <w:caps w:val="0"/>
          <w:smallCaps w:val="0"/>
          <w:color w:val="000000" w:themeColor="text1"/>
          <w14:textFill>
            <w14:solidFill>
              <w14:schemeClr w14:val="tx1"/>
            </w14:solidFill>
          </w14:textFill>
        </w:rPr>
      </w:pPr>
      <w:r>
        <w:rPr>
          <w:rFonts w:hint="eastAsia"/>
          <w:caps w:val="0"/>
          <w:smallCaps w:val="0"/>
          <w:color w:val="000000" w:themeColor="text1"/>
          <w14:textFill>
            <w14:solidFill>
              <w14:schemeClr w14:val="tx1"/>
            </w14:solidFill>
          </w14:textFill>
        </w:rPr>
        <w:t xml:space="preserve">          </w:t>
      </w:r>
    </w:p>
    <w:p>
      <w:pPr>
        <w:widowControl w:val="0"/>
        <w:kinsoku/>
        <w:wordWrap/>
        <w:overflowPunct/>
        <w:topLinePunct w:val="0"/>
        <w:autoSpaceDE/>
        <w:autoSpaceDN/>
        <w:bidi w:val="0"/>
        <w:jc w:val="center"/>
        <w:textAlignment w:val="auto"/>
        <w:rPr>
          <w:rFonts w:ascii="黑体" w:hAnsi="黑体" w:eastAsia="黑体"/>
          <w:b/>
          <w:bCs/>
          <w:caps w:val="0"/>
          <w:smallCaps w:val="0"/>
          <w:color w:val="000000" w:themeColor="text1"/>
          <w:kern w:val="0"/>
          <w:sz w:val="52"/>
          <w:szCs w:val="52"/>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Times New Roman" w:hAnsi="Times New Roman" w:eastAsia="仿宋_GB2312"/>
          <w:b/>
          <w:bCs/>
          <w:caps w:val="0"/>
          <w:smallCaps w:val="0"/>
          <w:color w:val="000000" w:themeColor="text1"/>
          <w:kern w:val="0"/>
          <w:sz w:val="44"/>
          <w:szCs w:val="44"/>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ascii="宋体" w:hAnsi="宋体"/>
          <w:b/>
          <w:bCs/>
          <w:caps w:val="0"/>
          <w:smallCaps w:val="0"/>
          <w:color w:val="000000" w:themeColor="text1"/>
          <w:kern w:val="0"/>
          <w:sz w:val="32"/>
          <w:szCs w:val="32"/>
          <w14:textFill>
            <w14:solidFill>
              <w14:schemeClr w14:val="tx1"/>
            </w14:solidFill>
          </w14:textFill>
        </w:rPr>
      </w:pPr>
    </w:p>
    <w:p>
      <w:pPr>
        <w:widowControl w:val="0"/>
        <w:shd w:val="clear" w:color="auto" w:fill="FFFFFF"/>
        <w:kinsoku/>
        <w:wordWrap/>
        <w:overflowPunct/>
        <w:topLinePunct w:val="0"/>
        <w:autoSpaceDE/>
        <w:autoSpaceDN/>
        <w:bidi w:val="0"/>
        <w:spacing w:line="360" w:lineRule="auto"/>
        <w:jc w:val="center"/>
        <w:textAlignment w:val="auto"/>
        <w:rPr>
          <w:rFonts w:hint="eastAsia" w:ascii="方正楷体_GBK" w:hAnsi="方正楷体_GBK" w:eastAsia="方正楷体_GBK" w:cs="方正楷体_GBK"/>
          <w:b w:val="0"/>
          <w:bCs w:val="0"/>
          <w:caps w:val="0"/>
          <w:smallCaps w:val="0"/>
          <w:color w:val="000000" w:themeColor="text1"/>
          <w:kern w:val="0"/>
          <w:sz w:val="32"/>
          <w:szCs w:val="32"/>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kern w:val="0"/>
          <w:sz w:val="32"/>
          <w:szCs w:val="32"/>
          <w14:textFill>
            <w14:solidFill>
              <w14:schemeClr w14:val="tx1"/>
            </w14:solidFill>
          </w14:textFill>
        </w:rPr>
        <w:t>二〇二</w:t>
      </w:r>
      <w:r>
        <w:rPr>
          <w:rFonts w:hint="eastAsia" w:ascii="方正楷体_GBK" w:hAnsi="方正楷体_GBK" w:eastAsia="方正楷体_GBK" w:cs="方正楷体_GBK"/>
          <w:b w:val="0"/>
          <w:bCs w:val="0"/>
          <w:caps w:val="0"/>
          <w:smallCaps w:val="0"/>
          <w:color w:val="000000" w:themeColor="text1"/>
          <w:kern w:val="0"/>
          <w:sz w:val="32"/>
          <w:szCs w:val="32"/>
          <w:lang w:eastAsia="zh-CN"/>
          <w14:textFill>
            <w14:solidFill>
              <w14:schemeClr w14:val="tx1"/>
            </w14:solidFill>
          </w14:textFill>
        </w:rPr>
        <w:t>二</w:t>
      </w:r>
      <w:r>
        <w:rPr>
          <w:rFonts w:hint="eastAsia" w:ascii="方正楷体_GBK" w:hAnsi="方正楷体_GBK" w:eastAsia="方正楷体_GBK" w:cs="方正楷体_GBK"/>
          <w:b w:val="0"/>
          <w:bCs w:val="0"/>
          <w:caps w:val="0"/>
          <w:smallCaps w:val="0"/>
          <w:color w:val="000000" w:themeColor="text1"/>
          <w:kern w:val="0"/>
          <w:sz w:val="32"/>
          <w:szCs w:val="32"/>
          <w14:textFill>
            <w14:solidFill>
              <w14:schemeClr w14:val="tx1"/>
            </w14:solidFill>
          </w14:textFill>
        </w:rPr>
        <w:t>年</w:t>
      </w:r>
      <w:r>
        <w:rPr>
          <w:rFonts w:hint="eastAsia" w:ascii="方正楷体_GBK" w:hAnsi="方正楷体_GBK" w:eastAsia="方正楷体_GBK" w:cs="方正楷体_GBK"/>
          <w:b w:val="0"/>
          <w:bCs w:val="0"/>
          <w:caps w:val="0"/>
          <w:smallCaps w:val="0"/>
          <w:color w:val="000000" w:themeColor="text1"/>
          <w:kern w:val="0"/>
          <w:sz w:val="32"/>
          <w:szCs w:val="32"/>
          <w:lang w:eastAsia="zh-CN"/>
          <w14:textFill>
            <w14:solidFill>
              <w14:schemeClr w14:val="tx1"/>
            </w14:solidFill>
          </w14:textFill>
        </w:rPr>
        <w:t>五</w:t>
      </w:r>
      <w:r>
        <w:rPr>
          <w:rFonts w:hint="eastAsia" w:ascii="方正楷体_GBK" w:hAnsi="方正楷体_GBK" w:eastAsia="方正楷体_GBK" w:cs="方正楷体_GBK"/>
          <w:b w:val="0"/>
          <w:bCs w:val="0"/>
          <w:caps w:val="0"/>
          <w:smallCaps w:val="0"/>
          <w:color w:val="000000" w:themeColor="text1"/>
          <w:kern w:val="0"/>
          <w:sz w:val="32"/>
          <w:szCs w:val="32"/>
          <w14:textFill>
            <w14:solidFill>
              <w14:schemeClr w14:val="tx1"/>
            </w14:solidFill>
          </w14:textFill>
        </w:rPr>
        <w:t>月</w:t>
      </w:r>
    </w:p>
    <w:p>
      <w:pPr>
        <w:pStyle w:val="50"/>
        <w:widowControl w:val="0"/>
        <w:kinsoku/>
        <w:wordWrap/>
        <w:overflowPunct/>
        <w:topLinePunct w:val="0"/>
        <w:autoSpaceDE/>
        <w:autoSpaceDN/>
        <w:bidi w:val="0"/>
        <w:jc w:val="center"/>
        <w:textAlignment w:val="auto"/>
        <w:outlineLvl w:val="9"/>
        <w:rPr>
          <w:b w:val="0"/>
          <w:bCs/>
          <w:caps w:val="0"/>
          <w:smallCaps w:val="0"/>
          <w:color w:val="000000" w:themeColor="text1"/>
          <w:sz w:val="32"/>
          <w:szCs w:val="32"/>
          <w14:textFill>
            <w14:solidFill>
              <w14:schemeClr w14:val="tx1"/>
            </w14:solidFill>
          </w14:textFill>
        </w:rPr>
      </w:pPr>
      <w:bookmarkStart w:id="0" w:name="_Toc531514273"/>
      <w:bookmarkStart w:id="1" w:name="_Toc8617"/>
      <w:bookmarkStart w:id="2" w:name="_Toc531769867"/>
      <w:bookmarkStart w:id="3" w:name="_Toc20407167"/>
      <w:bookmarkStart w:id="4" w:name="_Toc21680719"/>
      <w:bookmarkStart w:id="5" w:name="_Toc19713097"/>
      <w:bookmarkStart w:id="6" w:name="_Toc3944"/>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目   录</w:t>
      </w:r>
      <w:bookmarkEnd w:id="0"/>
      <w:bookmarkEnd w:id="1"/>
      <w:bookmarkEnd w:id="2"/>
      <w:bookmarkEnd w:id="3"/>
      <w:bookmarkEnd w:id="4"/>
      <w:bookmarkEnd w:id="5"/>
      <w:bookmarkEnd w:id="6"/>
      <w:bookmarkStart w:id="56" w:name="_GoBack"/>
      <w:bookmarkEnd w:id="56"/>
    </w:p>
    <w:p>
      <w:pPr>
        <w:pStyle w:val="18"/>
        <w:tabs>
          <w:tab w:val="right" w:leader="dot" w:pos="8312"/>
          <w:tab w:val="clear" w:pos="8302"/>
        </w:tabs>
      </w:pPr>
      <w:r>
        <w:rPr>
          <w:caps w:val="0"/>
          <w:smallCaps w:val="0"/>
          <w:color w:val="000000" w:themeColor="text1"/>
          <w:sz w:val="28"/>
          <w:szCs w:val="28"/>
          <w14:textFill>
            <w14:solidFill>
              <w14:schemeClr w14:val="tx1"/>
            </w14:solidFill>
          </w14:textFill>
        </w:rPr>
        <w:fldChar w:fldCharType="begin"/>
      </w:r>
      <w:r>
        <w:rPr>
          <w:caps w:val="0"/>
          <w:smallCaps w:val="0"/>
          <w:color w:val="000000" w:themeColor="text1"/>
          <w:sz w:val="28"/>
          <w:szCs w:val="28"/>
          <w14:textFill>
            <w14:solidFill>
              <w14:schemeClr w14:val="tx1"/>
            </w14:solidFill>
          </w14:textFill>
        </w:rPr>
        <w:instrText xml:space="preserve"> TOC \o "1-3" \h \z \u </w:instrText>
      </w:r>
      <w:r>
        <w:rPr>
          <w:caps w:val="0"/>
          <w:smallCaps w:val="0"/>
          <w:color w:val="000000" w:themeColor="text1"/>
          <w:sz w:val="28"/>
          <w:szCs w:val="28"/>
          <w14:textFill>
            <w14:solidFill>
              <w14:schemeClr w14:val="tx1"/>
            </w14:solidFill>
          </w14:textFill>
        </w:rPr>
        <w:fldChar w:fldCharType="separate"/>
      </w:r>
      <w:r>
        <w:rPr>
          <w:caps w:val="0"/>
          <w:smallCaps w:val="0"/>
          <w:color w:val="000000" w:themeColor="text1"/>
          <w:szCs w:val="28"/>
          <w14:textFill>
            <w14:solidFill>
              <w14:schemeClr w14:val="tx1"/>
            </w14:solidFill>
          </w14:textFill>
        </w:rPr>
        <w:fldChar w:fldCharType="begin"/>
      </w:r>
      <w:r>
        <w:rPr>
          <w:caps w:val="0"/>
          <w:smallCaps w:val="0"/>
          <w:szCs w:val="28"/>
        </w:rPr>
        <w:instrText xml:space="preserve"> HYPERLINK \l _Toc3944 </w:instrText>
      </w:r>
      <w:r>
        <w:rPr>
          <w:caps w:val="0"/>
          <w:smallCaps w:val="0"/>
          <w:szCs w:val="28"/>
        </w:rPr>
        <w:fldChar w:fldCharType="separate"/>
      </w:r>
      <w:r>
        <w:rPr>
          <w:bCs/>
          <w:caps w:val="0"/>
          <w:smallCaps w:val="0"/>
          <w:szCs w:val="32"/>
        </w:rPr>
        <w:t>目</w:t>
      </w:r>
      <w:r>
        <w:rPr>
          <w:rFonts w:hint="eastAsia"/>
          <w:bCs/>
          <w:caps w:val="0"/>
          <w:smallCaps w:val="0"/>
          <w:szCs w:val="32"/>
        </w:rPr>
        <w:t xml:space="preserve"> </w:t>
      </w:r>
      <w:r>
        <w:rPr>
          <w:bCs/>
          <w:caps w:val="0"/>
          <w:smallCaps w:val="0"/>
          <w:szCs w:val="32"/>
        </w:rPr>
        <w:t xml:space="preserve">  录</w:t>
      </w:r>
      <w:r>
        <w:rPr>
          <w:b w:val="0"/>
          <w:bCs w:val="0"/>
        </w:rPr>
        <w:tab/>
      </w:r>
      <w:r>
        <w:rPr>
          <w:caps w:val="0"/>
          <w:smallCaps w:val="0"/>
          <w:color w:val="000000" w:themeColor="text1"/>
          <w:szCs w:val="28"/>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_Toc28272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44"/>
        </w:rPr>
        <w:t xml:space="preserve">前 </w:t>
      </w:r>
      <w:r>
        <w:rPr>
          <w:rFonts w:hint="eastAsia" w:ascii="方正黑体_GBK" w:hAnsi="方正黑体_GBK" w:eastAsia="方正黑体_GBK" w:cs="方正黑体_GBK"/>
          <w:b w:val="0"/>
          <w:bCs w:val="0"/>
          <w:caps w:val="0"/>
          <w:smallCaps w:val="0"/>
          <w:szCs w:val="44"/>
          <w:lang w:val="en-US" w:eastAsia="zh-CN"/>
        </w:rPr>
        <w:t xml:space="preserve"> </w:t>
      </w:r>
      <w:r>
        <w:rPr>
          <w:rFonts w:hint="eastAsia" w:ascii="方正黑体_GBK" w:hAnsi="方正黑体_GBK" w:eastAsia="方正黑体_GBK" w:cs="方正黑体_GBK"/>
          <w:b w:val="0"/>
          <w:bCs w:val="0"/>
          <w:caps w:val="0"/>
          <w:smallCaps w:val="0"/>
          <w:szCs w:val="44"/>
        </w:rPr>
        <w:t>言</w:t>
      </w:r>
      <w:r>
        <w:rPr>
          <w:b w:val="0"/>
          <w:bCs w:val="0"/>
        </w:rPr>
        <w:tab/>
      </w:r>
      <w:r>
        <w:rPr>
          <w:b w:val="0"/>
          <w:bCs w:val="0"/>
        </w:rPr>
        <w:fldChar w:fldCharType="begin"/>
      </w:r>
      <w:r>
        <w:rPr>
          <w:b w:val="0"/>
          <w:bCs w:val="0"/>
        </w:rPr>
        <w:instrText xml:space="preserve"> PAGEREF _Toc28272 \h </w:instrText>
      </w:r>
      <w:r>
        <w:rPr>
          <w:b w:val="0"/>
          <w:bCs w:val="0"/>
        </w:rPr>
        <w:fldChar w:fldCharType="separate"/>
      </w:r>
      <w:r>
        <w:rPr>
          <w:b w:val="0"/>
          <w:bCs w:val="0"/>
        </w:rPr>
        <w:t>1</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_Toc28911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第一章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固体废物污染防治工作回顾与形势</w:t>
      </w:r>
      <w:r>
        <w:rPr>
          <w:b w:val="0"/>
          <w:bCs w:val="0"/>
        </w:rPr>
        <w:tab/>
      </w:r>
      <w:r>
        <w:rPr>
          <w:b w:val="0"/>
          <w:bCs w:val="0"/>
        </w:rPr>
        <w:fldChar w:fldCharType="begin"/>
      </w:r>
      <w:r>
        <w:rPr>
          <w:b w:val="0"/>
          <w:bCs w:val="0"/>
        </w:rPr>
        <w:instrText xml:space="preserve"> PAGEREF _Toc28911 \h </w:instrText>
      </w:r>
      <w:r>
        <w:rPr>
          <w:b w:val="0"/>
          <w:bCs w:val="0"/>
        </w:rPr>
        <w:fldChar w:fldCharType="separate"/>
      </w:r>
      <w:r>
        <w:rPr>
          <w:b w:val="0"/>
          <w:bCs w:val="0"/>
        </w:rPr>
        <w:t>2</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_Toc26648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一、“十三五”固体废物产生与利用处置情况</w:t>
      </w:r>
      <w:r>
        <w:rPr>
          <w:b w:val="0"/>
          <w:bCs w:val="0"/>
        </w:rPr>
        <w:tab/>
      </w:r>
      <w:r>
        <w:rPr>
          <w:b w:val="0"/>
          <w:bCs w:val="0"/>
        </w:rPr>
        <w:fldChar w:fldCharType="begin"/>
      </w:r>
      <w:r>
        <w:rPr>
          <w:b w:val="0"/>
          <w:bCs w:val="0"/>
        </w:rPr>
        <w:instrText xml:space="preserve"> PAGEREF _Toc26648 \h </w:instrText>
      </w:r>
      <w:r>
        <w:rPr>
          <w:b w:val="0"/>
          <w:bCs w:val="0"/>
        </w:rPr>
        <w:fldChar w:fldCharType="separate"/>
      </w:r>
      <w:r>
        <w:rPr>
          <w:b w:val="0"/>
          <w:bCs w:val="0"/>
        </w:rPr>
        <w:t>2</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_Toc11868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二、“十三五”固体废物污染防治工作管理现状</w:t>
      </w:r>
      <w:r>
        <w:rPr>
          <w:b w:val="0"/>
          <w:bCs w:val="0"/>
        </w:rPr>
        <w:tab/>
      </w:r>
      <w:r>
        <w:rPr>
          <w:b w:val="0"/>
          <w:bCs w:val="0"/>
        </w:rPr>
        <w:fldChar w:fldCharType="begin"/>
      </w:r>
      <w:r>
        <w:rPr>
          <w:b w:val="0"/>
          <w:bCs w:val="0"/>
        </w:rPr>
        <w:instrText xml:space="preserve"> PAGEREF _Toc11868 \h </w:instrText>
      </w:r>
      <w:r>
        <w:rPr>
          <w:b w:val="0"/>
          <w:bCs w:val="0"/>
        </w:rPr>
        <w:fldChar w:fldCharType="separate"/>
      </w:r>
      <w:r>
        <w:rPr>
          <w:b w:val="0"/>
          <w:bCs w:val="0"/>
        </w:rPr>
        <w:t>8</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_Toc8519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三、“十三五”固体废物处置存在问题</w:t>
      </w:r>
      <w:r>
        <w:rPr>
          <w:b w:val="0"/>
          <w:bCs w:val="0"/>
        </w:rPr>
        <w:tab/>
      </w:r>
      <w:r>
        <w:rPr>
          <w:b w:val="0"/>
          <w:bCs w:val="0"/>
        </w:rPr>
        <w:fldChar w:fldCharType="begin"/>
      </w:r>
      <w:r>
        <w:rPr>
          <w:b w:val="0"/>
          <w:bCs w:val="0"/>
        </w:rPr>
        <w:instrText xml:space="preserve"> PAGEREF _Toc8519 \h </w:instrText>
      </w:r>
      <w:r>
        <w:rPr>
          <w:b w:val="0"/>
          <w:bCs w:val="0"/>
        </w:rPr>
        <w:fldChar w:fldCharType="separate"/>
      </w:r>
      <w:r>
        <w:rPr>
          <w:b w:val="0"/>
          <w:bCs w:val="0"/>
        </w:rPr>
        <w:t>11</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_Toc23695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四、“十四五”面临形势</w:t>
      </w:r>
      <w:r>
        <w:rPr>
          <w:b w:val="0"/>
          <w:bCs w:val="0"/>
        </w:rPr>
        <w:tab/>
      </w:r>
      <w:r>
        <w:rPr>
          <w:b w:val="0"/>
          <w:bCs w:val="0"/>
        </w:rPr>
        <w:fldChar w:fldCharType="begin"/>
      </w:r>
      <w:r>
        <w:rPr>
          <w:b w:val="0"/>
          <w:bCs w:val="0"/>
        </w:rPr>
        <w:instrText xml:space="preserve"> PAGEREF _Toc23695 \h </w:instrText>
      </w:r>
      <w:r>
        <w:rPr>
          <w:b w:val="0"/>
          <w:bCs w:val="0"/>
        </w:rPr>
        <w:fldChar w:fldCharType="separate"/>
      </w:r>
      <w:r>
        <w:rPr>
          <w:b w:val="0"/>
          <w:bCs w:val="0"/>
        </w:rPr>
        <w:t>13</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_Toc32525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第二章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指导思想、原则及依据</w:t>
      </w:r>
      <w:r>
        <w:rPr>
          <w:b w:val="0"/>
          <w:bCs w:val="0"/>
        </w:rPr>
        <w:tab/>
      </w:r>
      <w:r>
        <w:rPr>
          <w:b w:val="0"/>
          <w:bCs w:val="0"/>
        </w:rPr>
        <w:fldChar w:fldCharType="begin"/>
      </w:r>
      <w:r>
        <w:rPr>
          <w:b w:val="0"/>
          <w:bCs w:val="0"/>
        </w:rPr>
        <w:instrText xml:space="preserve"> PAGEREF _Toc32525 \h </w:instrText>
      </w:r>
      <w:r>
        <w:rPr>
          <w:b w:val="0"/>
          <w:bCs w:val="0"/>
        </w:rPr>
        <w:fldChar w:fldCharType="separate"/>
      </w:r>
      <w:r>
        <w:rPr>
          <w:b w:val="0"/>
          <w:bCs w:val="0"/>
        </w:rPr>
        <w:t>15</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_Toc10567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一、指导思想</w:t>
      </w:r>
      <w:r>
        <w:rPr>
          <w:b w:val="0"/>
          <w:bCs w:val="0"/>
        </w:rPr>
        <w:tab/>
      </w:r>
      <w:r>
        <w:rPr>
          <w:b w:val="0"/>
          <w:bCs w:val="0"/>
        </w:rPr>
        <w:fldChar w:fldCharType="begin"/>
      </w:r>
      <w:r>
        <w:rPr>
          <w:b w:val="0"/>
          <w:bCs w:val="0"/>
        </w:rPr>
        <w:instrText xml:space="preserve"> PAGEREF _Toc10567 \h </w:instrText>
      </w:r>
      <w:r>
        <w:rPr>
          <w:b w:val="0"/>
          <w:bCs w:val="0"/>
        </w:rPr>
        <w:fldChar w:fldCharType="separate"/>
      </w:r>
      <w:r>
        <w:rPr>
          <w:b w:val="0"/>
          <w:bCs w:val="0"/>
        </w:rPr>
        <w:t>15</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_Toc2412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二、规划原则</w:t>
      </w:r>
      <w:r>
        <w:rPr>
          <w:b w:val="0"/>
          <w:bCs w:val="0"/>
        </w:rPr>
        <w:tab/>
      </w:r>
      <w:r>
        <w:rPr>
          <w:b w:val="0"/>
          <w:bCs w:val="0"/>
        </w:rPr>
        <w:fldChar w:fldCharType="begin"/>
      </w:r>
      <w:r>
        <w:rPr>
          <w:b w:val="0"/>
          <w:bCs w:val="0"/>
        </w:rPr>
        <w:instrText xml:space="preserve"> PAGEREF _Toc2412 \h </w:instrText>
      </w:r>
      <w:r>
        <w:rPr>
          <w:b w:val="0"/>
          <w:bCs w:val="0"/>
        </w:rPr>
        <w:fldChar w:fldCharType="separate"/>
      </w:r>
      <w:r>
        <w:rPr>
          <w:b w:val="0"/>
          <w:bCs w:val="0"/>
        </w:rPr>
        <w:t>15</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_Toc20659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三、规划依据</w:t>
      </w:r>
      <w:r>
        <w:rPr>
          <w:b w:val="0"/>
          <w:bCs w:val="0"/>
        </w:rPr>
        <w:tab/>
      </w:r>
      <w:r>
        <w:rPr>
          <w:b w:val="0"/>
          <w:bCs w:val="0"/>
        </w:rPr>
        <w:fldChar w:fldCharType="begin"/>
      </w:r>
      <w:r>
        <w:rPr>
          <w:b w:val="0"/>
          <w:bCs w:val="0"/>
        </w:rPr>
        <w:instrText xml:space="preserve"> PAGEREF _Toc20659 \h </w:instrText>
      </w:r>
      <w:r>
        <w:rPr>
          <w:b w:val="0"/>
          <w:bCs w:val="0"/>
        </w:rPr>
        <w:fldChar w:fldCharType="separate"/>
      </w:r>
      <w:r>
        <w:rPr>
          <w:b w:val="0"/>
          <w:bCs w:val="0"/>
        </w:rPr>
        <w:t>16</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_Toc30506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第三章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规划目标</w:t>
      </w:r>
      <w:r>
        <w:rPr>
          <w:b w:val="0"/>
          <w:bCs w:val="0"/>
        </w:rPr>
        <w:tab/>
      </w:r>
      <w:r>
        <w:rPr>
          <w:b w:val="0"/>
          <w:bCs w:val="0"/>
        </w:rPr>
        <w:fldChar w:fldCharType="begin"/>
      </w:r>
      <w:r>
        <w:rPr>
          <w:b w:val="0"/>
          <w:bCs w:val="0"/>
        </w:rPr>
        <w:instrText xml:space="preserve"> PAGEREF _Toc30506 \h </w:instrText>
      </w:r>
      <w:r>
        <w:rPr>
          <w:b w:val="0"/>
          <w:bCs w:val="0"/>
        </w:rPr>
        <w:fldChar w:fldCharType="separate"/>
      </w:r>
      <w:r>
        <w:rPr>
          <w:b w:val="0"/>
          <w:bCs w:val="0"/>
        </w:rPr>
        <w:t>19</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_Toc13452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一、规划期限和范围</w:t>
      </w:r>
      <w:r>
        <w:rPr>
          <w:b w:val="0"/>
          <w:bCs w:val="0"/>
        </w:rPr>
        <w:tab/>
      </w:r>
      <w:r>
        <w:rPr>
          <w:b w:val="0"/>
          <w:bCs w:val="0"/>
        </w:rPr>
        <w:fldChar w:fldCharType="begin"/>
      </w:r>
      <w:r>
        <w:rPr>
          <w:b w:val="0"/>
          <w:bCs w:val="0"/>
        </w:rPr>
        <w:instrText xml:space="preserve"> PAGEREF _Toc13452 \h </w:instrText>
      </w:r>
      <w:r>
        <w:rPr>
          <w:b w:val="0"/>
          <w:bCs w:val="0"/>
        </w:rPr>
        <w:fldChar w:fldCharType="separate"/>
      </w:r>
      <w:r>
        <w:rPr>
          <w:b w:val="0"/>
          <w:bCs w:val="0"/>
        </w:rPr>
        <w:t>19</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_Toc14595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二、总体目标</w:t>
      </w:r>
      <w:r>
        <w:rPr>
          <w:b w:val="0"/>
          <w:bCs w:val="0"/>
        </w:rPr>
        <w:tab/>
      </w:r>
      <w:r>
        <w:rPr>
          <w:b w:val="0"/>
          <w:bCs w:val="0"/>
        </w:rPr>
        <w:fldChar w:fldCharType="begin"/>
      </w:r>
      <w:r>
        <w:rPr>
          <w:b w:val="0"/>
          <w:bCs w:val="0"/>
        </w:rPr>
        <w:instrText xml:space="preserve"> PAGEREF _Toc14595 \h </w:instrText>
      </w:r>
      <w:r>
        <w:rPr>
          <w:b w:val="0"/>
          <w:bCs w:val="0"/>
        </w:rPr>
        <w:fldChar w:fldCharType="separate"/>
      </w:r>
      <w:r>
        <w:rPr>
          <w:b w:val="0"/>
          <w:bCs w:val="0"/>
        </w:rPr>
        <w:t>19</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_Toc18685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三、具体指标</w:t>
      </w:r>
      <w:r>
        <w:rPr>
          <w:b w:val="0"/>
          <w:bCs w:val="0"/>
        </w:rPr>
        <w:tab/>
      </w:r>
      <w:r>
        <w:rPr>
          <w:b w:val="0"/>
          <w:bCs w:val="0"/>
        </w:rPr>
        <w:fldChar w:fldCharType="begin"/>
      </w:r>
      <w:r>
        <w:rPr>
          <w:b w:val="0"/>
          <w:bCs w:val="0"/>
        </w:rPr>
        <w:instrText xml:space="preserve"> PAGEREF _Toc18685 \h </w:instrText>
      </w:r>
      <w:r>
        <w:rPr>
          <w:b w:val="0"/>
          <w:bCs w:val="0"/>
        </w:rPr>
        <w:fldChar w:fldCharType="separate"/>
      </w:r>
      <w:r>
        <w:rPr>
          <w:b w:val="0"/>
          <w:bCs w:val="0"/>
        </w:rPr>
        <w:t>19</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_Toc1888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第四章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一般工业固体废物规划重点任务</w:t>
      </w:r>
      <w:r>
        <w:rPr>
          <w:b w:val="0"/>
          <w:bCs w:val="0"/>
        </w:rPr>
        <w:tab/>
      </w:r>
      <w:r>
        <w:rPr>
          <w:b w:val="0"/>
          <w:bCs w:val="0"/>
        </w:rPr>
        <w:fldChar w:fldCharType="begin"/>
      </w:r>
      <w:r>
        <w:rPr>
          <w:b w:val="0"/>
          <w:bCs w:val="0"/>
        </w:rPr>
        <w:instrText xml:space="preserve"> PAGEREF _Toc1888 \h </w:instrText>
      </w:r>
      <w:r>
        <w:rPr>
          <w:b w:val="0"/>
          <w:bCs w:val="0"/>
        </w:rPr>
        <w:fldChar w:fldCharType="separate"/>
      </w:r>
      <w:r>
        <w:rPr>
          <w:b w:val="0"/>
          <w:bCs w:val="0"/>
        </w:rPr>
        <w:t>24</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_Toc28141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一、加强一般工业固体废物源头减量化</w:t>
      </w:r>
      <w:r>
        <w:rPr>
          <w:b w:val="0"/>
          <w:bCs w:val="0"/>
        </w:rPr>
        <w:tab/>
      </w:r>
      <w:r>
        <w:rPr>
          <w:b w:val="0"/>
          <w:bCs w:val="0"/>
        </w:rPr>
        <w:fldChar w:fldCharType="begin"/>
      </w:r>
      <w:r>
        <w:rPr>
          <w:b w:val="0"/>
          <w:bCs w:val="0"/>
        </w:rPr>
        <w:instrText xml:space="preserve"> PAGEREF _Toc28141 \h </w:instrText>
      </w:r>
      <w:r>
        <w:rPr>
          <w:b w:val="0"/>
          <w:bCs w:val="0"/>
        </w:rPr>
        <w:fldChar w:fldCharType="separate"/>
      </w:r>
      <w:r>
        <w:rPr>
          <w:b w:val="0"/>
          <w:bCs w:val="0"/>
        </w:rPr>
        <w:t>24</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_Toc20246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二、提升一般工业固体废物资源化水平</w:t>
      </w:r>
      <w:r>
        <w:rPr>
          <w:b w:val="0"/>
          <w:bCs w:val="0"/>
        </w:rPr>
        <w:tab/>
      </w:r>
      <w:r>
        <w:rPr>
          <w:b w:val="0"/>
          <w:bCs w:val="0"/>
        </w:rPr>
        <w:fldChar w:fldCharType="begin"/>
      </w:r>
      <w:r>
        <w:rPr>
          <w:b w:val="0"/>
          <w:bCs w:val="0"/>
        </w:rPr>
        <w:instrText xml:space="preserve"> PAGEREF _Toc20246 \h </w:instrText>
      </w:r>
      <w:r>
        <w:rPr>
          <w:b w:val="0"/>
          <w:bCs w:val="0"/>
        </w:rPr>
        <w:fldChar w:fldCharType="separate"/>
      </w:r>
      <w:r>
        <w:rPr>
          <w:b w:val="0"/>
          <w:bCs w:val="0"/>
        </w:rPr>
        <w:t>24</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_Toc16221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三、推动一般工业固体废物处置能力合理配置</w:t>
      </w:r>
      <w:r>
        <w:rPr>
          <w:b w:val="0"/>
          <w:bCs w:val="0"/>
        </w:rPr>
        <w:tab/>
      </w:r>
      <w:r>
        <w:rPr>
          <w:b w:val="0"/>
          <w:bCs w:val="0"/>
        </w:rPr>
        <w:fldChar w:fldCharType="begin"/>
      </w:r>
      <w:r>
        <w:rPr>
          <w:b w:val="0"/>
          <w:bCs w:val="0"/>
        </w:rPr>
        <w:instrText xml:space="preserve"> PAGEREF _Toc16221 \h </w:instrText>
      </w:r>
      <w:r>
        <w:rPr>
          <w:b w:val="0"/>
          <w:bCs w:val="0"/>
        </w:rPr>
        <w:fldChar w:fldCharType="separate"/>
      </w:r>
      <w:r>
        <w:rPr>
          <w:b w:val="0"/>
          <w:bCs w:val="0"/>
        </w:rPr>
        <w:t>25</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_Toc31917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四、建立一般工业固体废物的监管机制</w:t>
      </w:r>
      <w:r>
        <w:rPr>
          <w:b w:val="0"/>
          <w:bCs w:val="0"/>
        </w:rPr>
        <w:tab/>
      </w:r>
      <w:r>
        <w:rPr>
          <w:b w:val="0"/>
          <w:bCs w:val="0"/>
        </w:rPr>
        <w:fldChar w:fldCharType="begin"/>
      </w:r>
      <w:r>
        <w:rPr>
          <w:b w:val="0"/>
          <w:bCs w:val="0"/>
        </w:rPr>
        <w:instrText xml:space="preserve"> PAGEREF _Toc31917 \h </w:instrText>
      </w:r>
      <w:r>
        <w:rPr>
          <w:b w:val="0"/>
          <w:bCs w:val="0"/>
        </w:rPr>
        <w:fldChar w:fldCharType="separate"/>
      </w:r>
      <w:r>
        <w:rPr>
          <w:b w:val="0"/>
          <w:bCs w:val="0"/>
        </w:rPr>
        <w:t>26</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_Toc32254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第五章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危险废物规划重点任务</w:t>
      </w:r>
      <w:r>
        <w:rPr>
          <w:b w:val="0"/>
          <w:bCs w:val="0"/>
        </w:rPr>
        <w:tab/>
      </w:r>
      <w:r>
        <w:rPr>
          <w:b w:val="0"/>
          <w:bCs w:val="0"/>
        </w:rPr>
        <w:fldChar w:fldCharType="begin"/>
      </w:r>
      <w:r>
        <w:rPr>
          <w:b w:val="0"/>
          <w:bCs w:val="0"/>
        </w:rPr>
        <w:instrText xml:space="preserve"> PAGEREF _Toc32254 \h </w:instrText>
      </w:r>
      <w:r>
        <w:rPr>
          <w:b w:val="0"/>
          <w:bCs w:val="0"/>
        </w:rPr>
        <w:fldChar w:fldCharType="separate"/>
      </w:r>
      <w:r>
        <w:rPr>
          <w:b w:val="0"/>
          <w:bCs w:val="0"/>
        </w:rPr>
        <w:t>27</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_Toc25403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一、加强危险废物源头减量化</w:t>
      </w:r>
      <w:r>
        <w:rPr>
          <w:b w:val="0"/>
          <w:bCs w:val="0"/>
        </w:rPr>
        <w:tab/>
      </w:r>
      <w:r>
        <w:rPr>
          <w:b w:val="0"/>
          <w:bCs w:val="0"/>
        </w:rPr>
        <w:fldChar w:fldCharType="begin"/>
      </w:r>
      <w:r>
        <w:rPr>
          <w:b w:val="0"/>
          <w:bCs w:val="0"/>
        </w:rPr>
        <w:instrText xml:space="preserve"> PAGEREF _Toc25403 \h </w:instrText>
      </w:r>
      <w:r>
        <w:rPr>
          <w:b w:val="0"/>
          <w:bCs w:val="0"/>
        </w:rPr>
        <w:fldChar w:fldCharType="separate"/>
      </w:r>
      <w:r>
        <w:rPr>
          <w:b w:val="0"/>
          <w:bCs w:val="0"/>
        </w:rPr>
        <w:t>27</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_Toc31016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二、提升危险废物资源化水平</w:t>
      </w:r>
      <w:r>
        <w:rPr>
          <w:b w:val="0"/>
          <w:bCs w:val="0"/>
        </w:rPr>
        <w:tab/>
      </w:r>
      <w:r>
        <w:rPr>
          <w:b w:val="0"/>
          <w:bCs w:val="0"/>
        </w:rPr>
        <w:fldChar w:fldCharType="begin"/>
      </w:r>
      <w:r>
        <w:rPr>
          <w:b w:val="0"/>
          <w:bCs w:val="0"/>
        </w:rPr>
        <w:instrText xml:space="preserve"> PAGEREF _Toc31016 \h </w:instrText>
      </w:r>
      <w:r>
        <w:rPr>
          <w:b w:val="0"/>
          <w:bCs w:val="0"/>
        </w:rPr>
        <w:fldChar w:fldCharType="separate"/>
      </w:r>
      <w:r>
        <w:rPr>
          <w:b w:val="0"/>
          <w:bCs w:val="0"/>
        </w:rPr>
        <w:t>28</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_Toc8931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三、推进工业园区循环化改造，构建资源高效利用体系</w:t>
      </w:r>
      <w:r>
        <w:rPr>
          <w:b w:val="0"/>
          <w:bCs w:val="0"/>
        </w:rPr>
        <w:tab/>
      </w:r>
      <w:r>
        <w:rPr>
          <w:b w:val="0"/>
          <w:bCs w:val="0"/>
        </w:rPr>
        <w:fldChar w:fldCharType="begin"/>
      </w:r>
      <w:r>
        <w:rPr>
          <w:b w:val="0"/>
          <w:bCs w:val="0"/>
        </w:rPr>
        <w:instrText xml:space="preserve"> PAGEREF _Toc8931 \h </w:instrText>
      </w:r>
      <w:r>
        <w:rPr>
          <w:b w:val="0"/>
          <w:bCs w:val="0"/>
        </w:rPr>
        <w:fldChar w:fldCharType="separate"/>
      </w:r>
      <w:r>
        <w:rPr>
          <w:b w:val="0"/>
          <w:bCs w:val="0"/>
        </w:rPr>
        <w:t>28</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_Toc28121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四、合理配置危险废物处理处置能力</w:t>
      </w:r>
      <w:r>
        <w:rPr>
          <w:b w:val="0"/>
          <w:bCs w:val="0"/>
        </w:rPr>
        <w:tab/>
      </w:r>
      <w:r>
        <w:rPr>
          <w:b w:val="0"/>
          <w:bCs w:val="0"/>
        </w:rPr>
        <w:fldChar w:fldCharType="begin"/>
      </w:r>
      <w:r>
        <w:rPr>
          <w:b w:val="0"/>
          <w:bCs w:val="0"/>
        </w:rPr>
        <w:instrText xml:space="preserve"> PAGEREF _Toc28121 \h </w:instrText>
      </w:r>
      <w:r>
        <w:rPr>
          <w:b w:val="0"/>
          <w:bCs w:val="0"/>
        </w:rPr>
        <w:fldChar w:fldCharType="separate"/>
      </w:r>
      <w:r>
        <w:rPr>
          <w:b w:val="0"/>
          <w:bCs w:val="0"/>
        </w:rPr>
        <w:t>28</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_Toc21617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五、延伸和完善医疗废物收集处置体系</w:t>
      </w:r>
      <w:r>
        <w:rPr>
          <w:b w:val="0"/>
          <w:bCs w:val="0"/>
        </w:rPr>
        <w:tab/>
      </w:r>
      <w:r>
        <w:rPr>
          <w:b w:val="0"/>
          <w:bCs w:val="0"/>
        </w:rPr>
        <w:fldChar w:fldCharType="begin"/>
      </w:r>
      <w:r>
        <w:rPr>
          <w:b w:val="0"/>
          <w:bCs w:val="0"/>
        </w:rPr>
        <w:instrText xml:space="preserve"> PAGEREF _Toc21617 \h </w:instrText>
      </w:r>
      <w:r>
        <w:rPr>
          <w:b w:val="0"/>
          <w:bCs w:val="0"/>
        </w:rPr>
        <w:fldChar w:fldCharType="separate"/>
      </w:r>
      <w:r>
        <w:rPr>
          <w:b w:val="0"/>
          <w:bCs w:val="0"/>
        </w:rPr>
        <w:t>29</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_Toc10859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六、提升危险废物环境监管能力</w:t>
      </w:r>
      <w:r>
        <w:rPr>
          <w:b w:val="0"/>
          <w:bCs w:val="0"/>
        </w:rPr>
        <w:tab/>
      </w:r>
      <w:r>
        <w:rPr>
          <w:b w:val="0"/>
          <w:bCs w:val="0"/>
        </w:rPr>
        <w:fldChar w:fldCharType="begin"/>
      </w:r>
      <w:r>
        <w:rPr>
          <w:b w:val="0"/>
          <w:bCs w:val="0"/>
        </w:rPr>
        <w:instrText xml:space="preserve"> PAGEREF _Toc10859 \h </w:instrText>
      </w:r>
      <w:r>
        <w:rPr>
          <w:b w:val="0"/>
          <w:bCs w:val="0"/>
        </w:rPr>
        <w:fldChar w:fldCharType="separate"/>
      </w:r>
      <w:r>
        <w:rPr>
          <w:b w:val="0"/>
          <w:bCs w:val="0"/>
        </w:rPr>
        <w:t>30</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_Toc10923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七、完善危险废物环境应急及风险防控能力</w:t>
      </w:r>
      <w:r>
        <w:rPr>
          <w:b w:val="0"/>
          <w:bCs w:val="0"/>
        </w:rPr>
        <w:tab/>
      </w:r>
      <w:r>
        <w:rPr>
          <w:b w:val="0"/>
          <w:bCs w:val="0"/>
        </w:rPr>
        <w:fldChar w:fldCharType="begin"/>
      </w:r>
      <w:r>
        <w:rPr>
          <w:b w:val="0"/>
          <w:bCs w:val="0"/>
        </w:rPr>
        <w:instrText xml:space="preserve"> PAGEREF _Toc10923 \h </w:instrText>
      </w:r>
      <w:r>
        <w:rPr>
          <w:b w:val="0"/>
          <w:bCs w:val="0"/>
        </w:rPr>
        <w:fldChar w:fldCharType="separate"/>
      </w:r>
      <w:r>
        <w:rPr>
          <w:b w:val="0"/>
          <w:bCs w:val="0"/>
        </w:rPr>
        <w:t>32</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_Toc1300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第六章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其他固废规划重点任务</w:t>
      </w:r>
      <w:r>
        <w:rPr>
          <w:b w:val="0"/>
          <w:bCs w:val="0"/>
        </w:rPr>
        <w:tab/>
      </w:r>
      <w:r>
        <w:rPr>
          <w:b w:val="0"/>
          <w:bCs w:val="0"/>
        </w:rPr>
        <w:fldChar w:fldCharType="begin"/>
      </w:r>
      <w:r>
        <w:rPr>
          <w:b w:val="0"/>
          <w:bCs w:val="0"/>
        </w:rPr>
        <w:instrText xml:space="preserve"> PAGEREF _Toc1300 \h </w:instrText>
      </w:r>
      <w:r>
        <w:rPr>
          <w:b w:val="0"/>
          <w:bCs w:val="0"/>
        </w:rPr>
        <w:fldChar w:fldCharType="separate"/>
      </w:r>
      <w:r>
        <w:rPr>
          <w:b w:val="0"/>
          <w:bCs w:val="0"/>
        </w:rPr>
        <w:t>33</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_Toc32588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一、电子废弃物污染防治重点任务</w:t>
      </w:r>
      <w:r>
        <w:rPr>
          <w:b w:val="0"/>
          <w:bCs w:val="0"/>
        </w:rPr>
        <w:tab/>
      </w:r>
      <w:r>
        <w:rPr>
          <w:b w:val="0"/>
          <w:bCs w:val="0"/>
        </w:rPr>
        <w:fldChar w:fldCharType="begin"/>
      </w:r>
      <w:r>
        <w:rPr>
          <w:b w:val="0"/>
          <w:bCs w:val="0"/>
        </w:rPr>
        <w:instrText xml:space="preserve"> PAGEREF _Toc32588 \h </w:instrText>
      </w:r>
      <w:r>
        <w:rPr>
          <w:b w:val="0"/>
          <w:bCs w:val="0"/>
        </w:rPr>
        <w:fldChar w:fldCharType="separate"/>
      </w:r>
      <w:r>
        <w:rPr>
          <w:b w:val="0"/>
          <w:bCs w:val="0"/>
        </w:rPr>
        <w:t>33</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_Toc25470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二、进口废物污染防治重点任务</w:t>
      </w:r>
      <w:r>
        <w:rPr>
          <w:b w:val="0"/>
          <w:bCs w:val="0"/>
        </w:rPr>
        <w:tab/>
      </w:r>
      <w:r>
        <w:rPr>
          <w:b w:val="0"/>
          <w:bCs w:val="0"/>
        </w:rPr>
        <w:fldChar w:fldCharType="begin"/>
      </w:r>
      <w:r>
        <w:rPr>
          <w:b w:val="0"/>
          <w:bCs w:val="0"/>
        </w:rPr>
        <w:instrText xml:space="preserve"> PAGEREF _Toc25470 \h </w:instrText>
      </w:r>
      <w:r>
        <w:rPr>
          <w:b w:val="0"/>
          <w:bCs w:val="0"/>
        </w:rPr>
        <w:fldChar w:fldCharType="separate"/>
      </w:r>
      <w:r>
        <w:rPr>
          <w:b w:val="0"/>
          <w:bCs w:val="0"/>
        </w:rPr>
        <w:t>33</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_Toc12489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三、生活垃圾污染防治重点任务</w:t>
      </w:r>
      <w:r>
        <w:rPr>
          <w:b w:val="0"/>
          <w:bCs w:val="0"/>
        </w:rPr>
        <w:tab/>
      </w:r>
      <w:r>
        <w:rPr>
          <w:b w:val="0"/>
          <w:bCs w:val="0"/>
        </w:rPr>
        <w:fldChar w:fldCharType="begin"/>
      </w:r>
      <w:r>
        <w:rPr>
          <w:b w:val="0"/>
          <w:bCs w:val="0"/>
        </w:rPr>
        <w:instrText xml:space="preserve"> PAGEREF _Toc12489 \h </w:instrText>
      </w:r>
      <w:r>
        <w:rPr>
          <w:b w:val="0"/>
          <w:bCs w:val="0"/>
        </w:rPr>
        <w:fldChar w:fldCharType="separate"/>
      </w:r>
      <w:r>
        <w:rPr>
          <w:b w:val="0"/>
          <w:bCs w:val="0"/>
        </w:rPr>
        <w:t>33</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_Toc17392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四、农业废弃物污染防治重点任务</w:t>
      </w:r>
      <w:r>
        <w:rPr>
          <w:b w:val="0"/>
          <w:bCs w:val="0"/>
        </w:rPr>
        <w:tab/>
      </w:r>
      <w:r>
        <w:rPr>
          <w:b w:val="0"/>
          <w:bCs w:val="0"/>
        </w:rPr>
        <w:fldChar w:fldCharType="begin"/>
      </w:r>
      <w:r>
        <w:rPr>
          <w:b w:val="0"/>
          <w:bCs w:val="0"/>
        </w:rPr>
        <w:instrText xml:space="preserve"> PAGEREF _Toc17392 \h </w:instrText>
      </w:r>
      <w:r>
        <w:rPr>
          <w:b w:val="0"/>
          <w:bCs w:val="0"/>
        </w:rPr>
        <w:fldChar w:fldCharType="separate"/>
      </w:r>
      <w:r>
        <w:rPr>
          <w:b w:val="0"/>
          <w:bCs w:val="0"/>
        </w:rPr>
        <w:t>34</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_Toc8018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szCs w:val="44"/>
        </w:rPr>
        <w:t>第七章</w:t>
      </w:r>
      <w:r>
        <w:rPr>
          <w:rFonts w:hint="eastAsia" w:ascii="方正小标宋_GBK" w:hAnsi="方正小标宋_GBK" w:eastAsia="方正小标宋_GBK" w:cs="方正小标宋_GBK"/>
          <w:b w:val="0"/>
          <w:bCs w:val="0"/>
          <w:caps w:val="0"/>
          <w:smallCaps w:val="0"/>
          <w:szCs w:val="44"/>
          <w:lang w:val="en-US" w:eastAsia="zh-CN"/>
        </w:rPr>
        <w:t xml:space="preserve">  </w:t>
      </w:r>
      <w:r>
        <w:rPr>
          <w:rFonts w:hint="eastAsia" w:ascii="方正小标宋_GBK" w:hAnsi="方正小标宋_GBK" w:eastAsia="方正小标宋_GBK" w:cs="方正小标宋_GBK"/>
          <w:b w:val="0"/>
          <w:bCs w:val="0"/>
          <w:caps w:val="0"/>
          <w:smallCaps w:val="0"/>
          <w:szCs w:val="44"/>
        </w:rPr>
        <w:t>规划实施保障措施</w:t>
      </w:r>
      <w:r>
        <w:rPr>
          <w:b w:val="0"/>
          <w:bCs w:val="0"/>
        </w:rPr>
        <w:tab/>
      </w:r>
      <w:r>
        <w:rPr>
          <w:b w:val="0"/>
          <w:bCs w:val="0"/>
        </w:rPr>
        <w:fldChar w:fldCharType="begin"/>
      </w:r>
      <w:r>
        <w:rPr>
          <w:b w:val="0"/>
          <w:bCs w:val="0"/>
        </w:rPr>
        <w:instrText xml:space="preserve"> PAGEREF _Toc8018 \h </w:instrText>
      </w:r>
      <w:r>
        <w:rPr>
          <w:b w:val="0"/>
          <w:bCs w:val="0"/>
        </w:rPr>
        <w:fldChar w:fldCharType="separate"/>
      </w:r>
      <w:r>
        <w:rPr>
          <w:b w:val="0"/>
          <w:bCs w:val="0"/>
        </w:rPr>
        <w:t>38</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_Toc31964 </w:instrText>
      </w:r>
      <w:r>
        <w:rPr>
          <w:b w:val="0"/>
          <w:bCs w:val="0"/>
          <w:caps w:val="0"/>
          <w:smallCaps w:val="0"/>
          <w:szCs w:val="28"/>
          <w:lang w:val="zh-CN"/>
        </w:rPr>
        <w:fldChar w:fldCharType="separate"/>
      </w:r>
      <w:r>
        <w:rPr>
          <w:rFonts w:hint="eastAsia" w:ascii="方正黑体_GBK" w:hAnsi="方正黑体_GBK" w:eastAsia="方正黑体_GBK" w:cs="方正黑体_GBK"/>
          <w:b w:val="0"/>
          <w:bCs w:val="0"/>
          <w:caps w:val="0"/>
          <w:smallCaps w:val="0"/>
          <w:szCs w:val="32"/>
        </w:rPr>
        <w:t>一、加强组织领导</w:t>
      </w:r>
      <w:r>
        <w:rPr>
          <w:b w:val="0"/>
          <w:bCs w:val="0"/>
        </w:rPr>
        <w:tab/>
      </w:r>
      <w:r>
        <w:rPr>
          <w:b w:val="0"/>
          <w:bCs w:val="0"/>
        </w:rPr>
        <w:fldChar w:fldCharType="begin"/>
      </w:r>
      <w:r>
        <w:rPr>
          <w:b w:val="0"/>
          <w:bCs w:val="0"/>
        </w:rPr>
        <w:instrText xml:space="preserve"> PAGEREF _Toc31964 \h </w:instrText>
      </w:r>
      <w:r>
        <w:rPr>
          <w:b w:val="0"/>
          <w:bCs w:val="0"/>
        </w:rPr>
        <w:fldChar w:fldCharType="separate"/>
      </w:r>
      <w:r>
        <w:rPr>
          <w:b w:val="0"/>
          <w:bCs w:val="0"/>
        </w:rPr>
        <w:t>38</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_Toc19106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二、强化技术支撑</w:t>
      </w:r>
      <w:r>
        <w:rPr>
          <w:b w:val="0"/>
          <w:bCs w:val="0"/>
        </w:rPr>
        <w:tab/>
      </w:r>
      <w:r>
        <w:rPr>
          <w:b w:val="0"/>
          <w:bCs w:val="0"/>
        </w:rPr>
        <w:fldChar w:fldCharType="begin"/>
      </w:r>
      <w:r>
        <w:rPr>
          <w:b w:val="0"/>
          <w:bCs w:val="0"/>
        </w:rPr>
        <w:instrText xml:space="preserve"> PAGEREF _Toc19106 \h </w:instrText>
      </w:r>
      <w:r>
        <w:rPr>
          <w:b w:val="0"/>
          <w:bCs w:val="0"/>
        </w:rPr>
        <w:fldChar w:fldCharType="separate"/>
      </w:r>
      <w:r>
        <w:rPr>
          <w:b w:val="0"/>
          <w:bCs w:val="0"/>
        </w:rPr>
        <w:t>39</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_Toc19923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三、加大资金政策性投入</w:t>
      </w:r>
      <w:r>
        <w:rPr>
          <w:b w:val="0"/>
          <w:bCs w:val="0"/>
        </w:rPr>
        <w:tab/>
      </w:r>
      <w:r>
        <w:rPr>
          <w:b w:val="0"/>
          <w:bCs w:val="0"/>
        </w:rPr>
        <w:fldChar w:fldCharType="begin"/>
      </w:r>
      <w:r>
        <w:rPr>
          <w:b w:val="0"/>
          <w:bCs w:val="0"/>
        </w:rPr>
        <w:instrText xml:space="preserve"> PAGEREF _Toc19923 \h </w:instrText>
      </w:r>
      <w:r>
        <w:rPr>
          <w:b w:val="0"/>
          <w:bCs w:val="0"/>
        </w:rPr>
        <w:fldChar w:fldCharType="separate"/>
      </w:r>
      <w:r>
        <w:rPr>
          <w:b w:val="0"/>
          <w:bCs w:val="0"/>
        </w:rPr>
        <w:t>40</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_Toc24484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四、引导社会参与</w:t>
      </w:r>
      <w:r>
        <w:rPr>
          <w:b w:val="0"/>
          <w:bCs w:val="0"/>
        </w:rPr>
        <w:tab/>
      </w:r>
      <w:r>
        <w:rPr>
          <w:b w:val="0"/>
          <w:bCs w:val="0"/>
        </w:rPr>
        <w:fldChar w:fldCharType="begin"/>
      </w:r>
      <w:r>
        <w:rPr>
          <w:b w:val="0"/>
          <w:bCs w:val="0"/>
        </w:rPr>
        <w:instrText xml:space="preserve"> PAGEREF _Toc24484 \h </w:instrText>
      </w:r>
      <w:r>
        <w:rPr>
          <w:b w:val="0"/>
          <w:bCs w:val="0"/>
        </w:rPr>
        <w:fldChar w:fldCharType="separate"/>
      </w:r>
      <w:r>
        <w:rPr>
          <w:b w:val="0"/>
          <w:bCs w:val="0"/>
        </w:rPr>
        <w:t>41</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ind w:firstLine="400" w:firstLineChars="200"/>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_Toc30001 </w:instrText>
      </w:r>
      <w:r>
        <w:rPr>
          <w:b w:val="0"/>
          <w:bCs w:val="0"/>
          <w:caps w:val="0"/>
          <w:smallCaps w:val="0"/>
          <w:szCs w:val="28"/>
          <w:lang w:val="zh-CN"/>
        </w:rPr>
        <w:fldChar w:fldCharType="separate"/>
      </w:r>
      <w:r>
        <w:rPr>
          <w:rFonts w:hint="default" w:ascii="方正黑体_GBK" w:hAnsi="方正黑体_GBK" w:eastAsia="方正黑体_GBK" w:cs="方正黑体_GBK"/>
          <w:b w:val="0"/>
          <w:bCs w:val="0"/>
          <w:caps w:val="0"/>
          <w:smallCaps w:val="0"/>
          <w:szCs w:val="32"/>
        </w:rPr>
        <w:t>五、推进近期重点工程建设</w:t>
      </w:r>
      <w:r>
        <w:rPr>
          <w:b w:val="0"/>
          <w:bCs w:val="0"/>
        </w:rPr>
        <w:tab/>
      </w:r>
      <w:r>
        <w:rPr>
          <w:b w:val="0"/>
          <w:bCs w:val="0"/>
        </w:rPr>
        <w:fldChar w:fldCharType="begin"/>
      </w:r>
      <w:r>
        <w:rPr>
          <w:b w:val="0"/>
          <w:bCs w:val="0"/>
        </w:rPr>
        <w:instrText xml:space="preserve"> PAGEREF _Toc30001 \h </w:instrText>
      </w:r>
      <w:r>
        <w:rPr>
          <w:b w:val="0"/>
          <w:bCs w:val="0"/>
        </w:rPr>
        <w:fldChar w:fldCharType="separate"/>
      </w:r>
      <w:r>
        <w:rPr>
          <w:b w:val="0"/>
          <w:bCs w:val="0"/>
        </w:rPr>
        <w:t>41</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_Toc15355 </w:instrText>
      </w:r>
      <w:r>
        <w:rPr>
          <w:b w:val="0"/>
          <w:bCs w:val="0"/>
          <w:caps w:val="0"/>
          <w:smallCaps w:val="0"/>
          <w:szCs w:val="28"/>
          <w:lang w:val="zh-CN"/>
        </w:rPr>
        <w:fldChar w:fldCharType="separate"/>
      </w:r>
      <w:r>
        <w:rPr>
          <w:rFonts w:hint="eastAsia" w:ascii="方正小标宋_GBK" w:hAnsi="方正小标宋_GBK" w:eastAsia="方正小标宋_GBK" w:cs="方正小标宋_GBK"/>
          <w:b w:val="0"/>
          <w:bCs w:val="0"/>
          <w:caps w:val="0"/>
          <w:smallCaps w:val="0"/>
        </w:rPr>
        <w:t>附表</w:t>
      </w:r>
      <w:r>
        <w:rPr>
          <w:rFonts w:hint="eastAsia" w:ascii="方正小标宋_GBK" w:hAnsi="方正小标宋_GBK" w:eastAsia="方正小标宋_GBK" w:cs="方正小标宋_GBK"/>
          <w:b w:val="0"/>
          <w:bCs w:val="0"/>
          <w:caps w:val="0"/>
          <w:smallCaps w:val="0"/>
          <w:lang w:val="en-US" w:eastAsia="zh-CN"/>
        </w:rPr>
        <w:t xml:space="preserve">  </w:t>
      </w:r>
      <w:r>
        <w:rPr>
          <w:rFonts w:hint="eastAsia" w:ascii="方正小标宋_GBK" w:hAnsi="方正小标宋_GBK" w:eastAsia="方正小标宋_GBK" w:cs="方正小标宋_GBK"/>
          <w:b w:val="0"/>
          <w:bCs w:val="0"/>
          <w:caps w:val="0"/>
          <w:smallCaps w:val="0"/>
        </w:rPr>
        <w:t>固体废物污染防治专项规划近期重点工程</w:t>
      </w:r>
      <w:r>
        <w:rPr>
          <w:b w:val="0"/>
          <w:bCs w:val="0"/>
        </w:rPr>
        <w:tab/>
      </w:r>
      <w:r>
        <w:rPr>
          <w:b w:val="0"/>
          <w:bCs w:val="0"/>
        </w:rPr>
        <w:fldChar w:fldCharType="begin"/>
      </w:r>
      <w:r>
        <w:rPr>
          <w:b w:val="0"/>
          <w:bCs w:val="0"/>
        </w:rPr>
        <w:instrText xml:space="preserve"> PAGEREF _Toc15355 \h </w:instrText>
      </w:r>
      <w:r>
        <w:rPr>
          <w:b w:val="0"/>
          <w:bCs w:val="0"/>
        </w:rPr>
        <w:fldChar w:fldCharType="separate"/>
      </w:r>
      <w:r>
        <w:rPr>
          <w:b w:val="0"/>
          <w:bCs w:val="0"/>
        </w:rPr>
        <w:t>42</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pStyle w:val="18"/>
        <w:tabs>
          <w:tab w:val="right" w:leader="dot" w:pos="8312"/>
          <w:tab w:val="clear" w:pos="8302"/>
        </w:tabs>
        <w:rPr>
          <w:b w:val="0"/>
          <w:bCs w:val="0"/>
        </w:rPr>
      </w:pPr>
      <w:r>
        <w:rPr>
          <w:b w:val="0"/>
          <w:bCs w:val="0"/>
          <w:caps w:val="0"/>
          <w:smallCaps w:val="0"/>
          <w:color w:val="000000" w:themeColor="text1"/>
          <w:szCs w:val="28"/>
          <w:lang w:val="zh-CN"/>
          <w14:textFill>
            <w14:solidFill>
              <w14:schemeClr w14:val="tx1"/>
            </w14:solidFill>
          </w14:textFill>
        </w:rPr>
        <w:fldChar w:fldCharType="begin"/>
      </w:r>
      <w:r>
        <w:rPr>
          <w:b w:val="0"/>
          <w:bCs w:val="0"/>
          <w:caps w:val="0"/>
          <w:smallCaps w:val="0"/>
          <w:szCs w:val="28"/>
          <w:lang w:val="zh-CN"/>
        </w:rPr>
        <w:instrText xml:space="preserve"> HYPERLINK \l _Toc22521 </w:instrText>
      </w:r>
      <w:r>
        <w:rPr>
          <w:b w:val="0"/>
          <w:bCs w:val="0"/>
          <w:caps w:val="0"/>
          <w:smallCaps w:val="0"/>
          <w:szCs w:val="28"/>
          <w:lang w:val="zh-CN"/>
        </w:rPr>
        <w:fldChar w:fldCharType="separate"/>
      </w:r>
      <w:r>
        <w:rPr>
          <w:rFonts w:hint="eastAsia" w:ascii="方正仿宋_GBK" w:hAnsi="方正仿宋_GBK" w:eastAsia="方正仿宋_GBK" w:cs="方正仿宋_GBK"/>
          <w:b w:val="0"/>
          <w:bCs w:val="0"/>
          <w:caps w:val="0"/>
          <w:smallCaps w:val="0"/>
          <w:kern w:val="44"/>
          <w:szCs w:val="20"/>
        </w:rPr>
        <w:t>附图</w:t>
      </w:r>
      <w:r>
        <w:rPr>
          <w:b w:val="0"/>
          <w:bCs w:val="0"/>
        </w:rPr>
        <w:tab/>
      </w:r>
      <w:r>
        <w:rPr>
          <w:b w:val="0"/>
          <w:bCs w:val="0"/>
        </w:rPr>
        <w:fldChar w:fldCharType="begin"/>
      </w:r>
      <w:r>
        <w:rPr>
          <w:b w:val="0"/>
          <w:bCs w:val="0"/>
        </w:rPr>
        <w:instrText xml:space="preserve"> PAGEREF _Toc22521 \h </w:instrText>
      </w:r>
      <w:r>
        <w:rPr>
          <w:b w:val="0"/>
          <w:bCs w:val="0"/>
        </w:rPr>
        <w:fldChar w:fldCharType="separate"/>
      </w:r>
      <w:r>
        <w:rPr>
          <w:b w:val="0"/>
          <w:bCs w:val="0"/>
        </w:rPr>
        <w:t>43</w:t>
      </w:r>
      <w:r>
        <w:rPr>
          <w:b w:val="0"/>
          <w:bCs w:val="0"/>
        </w:rPr>
        <w:fldChar w:fldCharType="end"/>
      </w:r>
      <w:r>
        <w:rPr>
          <w:b w:val="0"/>
          <w:bCs w:val="0"/>
          <w:caps w:val="0"/>
          <w:smallCaps w:val="0"/>
          <w:color w:val="000000" w:themeColor="text1"/>
          <w:szCs w:val="28"/>
          <w:lang w:val="zh-CN"/>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b w:val="0"/>
          <w:bCs/>
          <w:caps w:val="0"/>
          <w:smallCaps w:val="0"/>
          <w:color w:val="000000" w:themeColor="text1"/>
          <w:sz w:val="20"/>
          <w:szCs w:val="20"/>
          <w14:textFill>
            <w14:solidFill>
              <w14:schemeClr w14:val="tx1"/>
            </w14:solidFill>
          </w14:textFill>
        </w:rPr>
      </w:pPr>
      <w:r>
        <w:rPr>
          <w:bCs/>
          <w:caps w:val="0"/>
          <w:smallCaps w:val="0"/>
          <w:color w:val="000000" w:themeColor="text1"/>
          <w:szCs w:val="28"/>
          <w:lang w:val="zh-CN"/>
          <w14:textFill>
            <w14:solidFill>
              <w14:schemeClr w14:val="tx1"/>
            </w14:solidFill>
          </w14:textFill>
        </w:rPr>
        <w:fldChar w:fldCharType="end"/>
      </w:r>
      <w:r>
        <w:rPr>
          <w:rFonts w:hint="default" w:ascii="Times New Roman" w:hAnsi="Times New Roman" w:eastAsia="方正仿宋_GBK" w:cs="Times New Roman"/>
          <w:b w:val="0"/>
          <w:bCs/>
          <w:caps w:val="0"/>
          <w:smallCaps w:val="0"/>
          <w:color w:val="000000" w:themeColor="text1"/>
          <w:sz w:val="20"/>
          <w:szCs w:val="20"/>
          <w14:textFill>
            <w14:solidFill>
              <w14:schemeClr w14:val="tx1"/>
            </w14:solidFill>
          </w14:textFill>
        </w:rPr>
        <w:t>附图1   规划期内危险废物（含医疗废物）处置设施规划图</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b w:val="0"/>
          <w:bCs/>
          <w:caps w:val="0"/>
          <w:smallCaps w:val="0"/>
          <w:color w:val="000000" w:themeColor="text1"/>
          <w:sz w:val="20"/>
          <w:szCs w:val="20"/>
          <w14:textFill>
            <w14:solidFill>
              <w14:schemeClr w14:val="tx1"/>
            </w14:solidFill>
          </w14:textFill>
        </w:rPr>
      </w:pPr>
      <w:r>
        <w:rPr>
          <w:rFonts w:hint="default" w:ascii="Times New Roman" w:hAnsi="Times New Roman" w:eastAsia="方正仿宋_GBK" w:cs="Times New Roman"/>
          <w:b w:val="0"/>
          <w:bCs/>
          <w:caps w:val="0"/>
          <w:smallCaps w:val="0"/>
          <w:color w:val="000000" w:themeColor="text1"/>
          <w:sz w:val="20"/>
          <w:szCs w:val="20"/>
          <w14:textFill>
            <w14:solidFill>
              <w14:schemeClr w14:val="tx1"/>
            </w14:solidFill>
          </w14:textFill>
        </w:rPr>
        <w:t>附图2   规划期内一般固废处置设施规划图</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b w:val="0"/>
          <w:bCs/>
          <w:caps w:val="0"/>
          <w:smallCaps w:val="0"/>
          <w:color w:val="000000" w:themeColor="text1"/>
          <w:sz w:val="20"/>
          <w:szCs w:val="20"/>
          <w14:textFill>
            <w14:solidFill>
              <w14:schemeClr w14:val="tx1"/>
            </w14:solidFill>
          </w14:textFill>
        </w:rPr>
      </w:pPr>
      <w:r>
        <w:rPr>
          <w:rFonts w:hint="default" w:ascii="Times New Roman" w:hAnsi="Times New Roman" w:eastAsia="方正仿宋_GBK" w:cs="Times New Roman"/>
          <w:b w:val="0"/>
          <w:bCs/>
          <w:caps w:val="0"/>
          <w:smallCaps w:val="0"/>
          <w:color w:val="000000" w:themeColor="text1"/>
          <w:sz w:val="20"/>
          <w:szCs w:val="20"/>
          <w14:textFill>
            <w14:solidFill>
              <w14:schemeClr w14:val="tx1"/>
            </w14:solidFill>
          </w14:textFill>
        </w:rPr>
        <w:t>附图3   规划期内生活垃圾处置设施规划图</w:t>
      </w:r>
    </w:p>
    <w:p>
      <w:pPr>
        <w:widowControl w:val="0"/>
        <w:kinsoku/>
        <w:wordWrap/>
        <w:overflowPunct/>
        <w:topLinePunct w:val="0"/>
        <w:autoSpaceDE/>
        <w:autoSpaceDN/>
        <w:bidi w:val="0"/>
        <w:spacing w:line="480" w:lineRule="auto"/>
        <w:textAlignment w:val="auto"/>
        <w:rPr>
          <w:caps w:val="0"/>
          <w:smallCaps w:val="0"/>
          <w:color w:val="000000" w:themeColor="text1"/>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720" w:num="1"/>
          <w:titlePg/>
          <w:docGrid w:linePitch="381" w:charSpace="0"/>
        </w:sectPr>
      </w:pPr>
    </w:p>
    <w:p>
      <w:pPr>
        <w:pStyle w:val="2"/>
        <w:keepNext w:val="0"/>
        <w:keepLines/>
        <w:pageBreakBefore/>
        <w:widowControl w:val="0"/>
        <w:kinsoku/>
        <w:wordWrap/>
        <w:overflowPunct/>
        <w:topLinePunct w:val="0"/>
        <w:autoSpaceDE/>
        <w:autoSpaceDN/>
        <w:bidi w:val="0"/>
        <w:adjustRightInd/>
        <w:snapToGrid/>
        <w:spacing w:line="640" w:lineRule="exact"/>
        <w:jc w:val="center"/>
        <w:textAlignment w:val="auto"/>
        <w:rPr>
          <w:rFonts w:ascii="黑体" w:hAnsi="黑体"/>
          <w:caps w:val="0"/>
          <w:smallCaps w:val="0"/>
          <w:color w:val="000000" w:themeColor="text1"/>
          <w:sz w:val="44"/>
          <w:szCs w:val="44"/>
          <w14:textFill>
            <w14:solidFill>
              <w14:schemeClr w14:val="tx1"/>
            </w14:solidFill>
          </w14:textFill>
        </w:rPr>
      </w:pPr>
      <w:bookmarkStart w:id="7" w:name="_Toc28272"/>
      <w:bookmarkStart w:id="8" w:name="_Toc318055789"/>
      <w:bookmarkStart w:id="9" w:name="_Toc457313260"/>
      <w:r>
        <w:rPr>
          <w:rFonts w:hint="eastAsia" w:ascii="方正黑体_GBK" w:hAnsi="方正黑体_GBK" w:eastAsia="方正黑体_GBK" w:cs="方正黑体_GBK"/>
          <w:b w:val="0"/>
          <w:bCs/>
          <w:caps w:val="0"/>
          <w:smallCaps w:val="0"/>
          <w:color w:val="000000" w:themeColor="text1"/>
          <w:sz w:val="44"/>
          <w:szCs w:val="44"/>
          <w14:textFill>
            <w14:solidFill>
              <w14:schemeClr w14:val="tx1"/>
            </w14:solidFill>
          </w14:textFill>
        </w:rPr>
        <w:t xml:space="preserve">前 </w:t>
      </w:r>
      <w:r>
        <w:rPr>
          <w:rFonts w:hint="eastAsia" w:ascii="方正黑体_GBK" w:hAnsi="方正黑体_GBK" w:eastAsia="方正黑体_GBK" w:cs="方正黑体_GBK"/>
          <w:b w:val="0"/>
          <w:bCs/>
          <w:caps w:val="0"/>
          <w:smallCaps w:val="0"/>
          <w:color w:val="000000" w:themeColor="text1"/>
          <w:sz w:val="44"/>
          <w:szCs w:val="44"/>
          <w:lang w:val="en-US" w:eastAsia="zh-CN"/>
          <w14:textFill>
            <w14:solidFill>
              <w14:schemeClr w14:val="tx1"/>
            </w14:solidFill>
          </w14:textFill>
        </w:rPr>
        <w:t xml:space="preserve"> </w:t>
      </w:r>
      <w:r>
        <w:rPr>
          <w:rFonts w:hint="eastAsia" w:ascii="方正黑体_GBK" w:hAnsi="方正黑体_GBK" w:eastAsia="方正黑体_GBK" w:cs="方正黑体_GBK"/>
          <w:b w:val="0"/>
          <w:bCs/>
          <w:caps w:val="0"/>
          <w:smallCaps w:val="0"/>
          <w:color w:val="000000" w:themeColor="text1"/>
          <w:sz w:val="44"/>
          <w:szCs w:val="44"/>
          <w14:textFill>
            <w14:solidFill>
              <w14:schemeClr w14:val="tx1"/>
            </w14:solidFill>
          </w14:textFill>
        </w:rPr>
        <w:t>言</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党的十八大以来，党中央、国务院将生态文明上升为国家战略，习近平总书记在党的十九大报告中提出，要加强固体废弃物和垃圾处置，着力解决突出环境问题。《中华人民共和国固体废物污染环境防治法》提出了制定工业固体废物污染环境防治工作规划的要求。国家、省生态环境保护规划对固体废物污染防治工作提出了具体要求，为推进梅河口市固体废物污染防治工作提供了新的契机。随着梅河口市医药等重工业的快速发展和城市化进程的加快，各类固体废物产生量持续增加，对现有固体废物处理处置能力及环境监管水平带来空前的压力和挑战。在此背景下，为适应当前全面加强生态环境保护的新形势，推</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进“无废城市”建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设，解决固体废物污染防治工作中遇到的问题，梅河口市生态环境局组织开展了《梅河口</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市“十四五”固体</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废物污染防治规划（2021</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2025）》的编制工作。本次规划范围为梅河口市行政区域，规划基准年是2020年。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本次规划全面分析梅河口市固体废物污染防治工作的现状和存在问题，结合梅河口市的发展规划和产业特点，重点对我市一般工业固体废物和危险废物污染防治措施进行规划，对其他固体废物依据相关政策和规划进行管理和规范。本次规划致力于提高固体废物减量化和资源化水平，优化固体废物处置设施的布局，</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加强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固体废物的环境监管能力，合理引导当前和今后一个时期全市固体废物污染防治工作。</w:t>
      </w:r>
    </w:p>
    <w:p>
      <w:pPr>
        <w:pStyle w:val="2"/>
        <w:widowControl w:val="0"/>
        <w:kinsoku/>
        <w:wordWrap/>
        <w:overflowPunct/>
        <w:topLinePunct w:val="0"/>
        <w:autoSpaceDE/>
        <w:autoSpaceDN/>
        <w:bidi w:val="0"/>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sectPr>
          <w:footerReference r:id="rId9" w:type="default"/>
          <w:pgSz w:w="11906" w:h="16838"/>
          <w:pgMar w:top="1440" w:right="1587" w:bottom="1361" w:left="1587" w:header="851" w:footer="992" w:gutter="0"/>
          <w:pgNumType w:start="1"/>
          <w:cols w:space="0" w:num="1"/>
          <w:rtlGutter w:val="0"/>
          <w:docGrid w:type="linesAndChars" w:linePitch="312" w:charSpace="0"/>
        </w:sectPr>
      </w:pPr>
      <w:bookmarkStart w:id="10" w:name="_Toc28911"/>
    </w:p>
    <w:p>
      <w:pPr>
        <w:pStyle w:val="2"/>
        <w:keepNext w:val="0"/>
        <w:keepLines/>
        <w:pageBreakBefore/>
        <w:widowControl w:val="0"/>
        <w:kinsoku/>
        <w:wordWrap/>
        <w:overflowPunct/>
        <w:topLinePunct w:val="0"/>
        <w:autoSpaceDE/>
        <w:autoSpaceDN/>
        <w:bidi w:val="0"/>
        <w:adjustRightInd/>
        <w:snapToGrid/>
        <w:spacing w:line="640" w:lineRule="exact"/>
        <w:textAlignment w:val="auto"/>
        <w:rPr>
          <w:rFonts w:hint="eastAsia" w:ascii="方正小标宋_GBK" w:hAnsi="方正小标宋_GBK" w:eastAsia="方正小标宋_GBK" w:cs="方正小标宋_GBK"/>
          <w:b w:val="0"/>
          <w:bCs/>
          <w:caps w:val="0"/>
          <w:smallCaps w:val="0"/>
          <w:color w:val="000000" w:themeColor="text1"/>
          <w:szCs w:val="32"/>
          <w14:textFill>
            <w14:solidFill>
              <w14:schemeClr w14:val="tx1"/>
            </w14:solidFill>
          </w14:textFill>
        </w:rPr>
      </w:pPr>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第一章</w:t>
      </w:r>
      <w:r>
        <w:rPr>
          <w:rFonts w:hint="eastAsia" w:ascii="方正小标宋_GBK" w:hAnsi="方正小标宋_GBK" w:eastAsia="方正小标宋_GBK" w:cs="方正小标宋_GBK"/>
          <w:b w:val="0"/>
          <w:bCs/>
          <w:caps w:val="0"/>
          <w:smallCaps w:val="0"/>
          <w:color w:val="000000" w:themeColor="text1"/>
          <w:sz w:val="44"/>
          <w:szCs w:val="44"/>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固体废物污染防治工作回顾与形势</w:t>
      </w:r>
      <w:bookmarkEnd w:id="10"/>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11" w:name="_Toc26648"/>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一、“十三五”固体废物产生与利用处置情况</w:t>
      </w:r>
      <w:bookmarkEnd w:id="11"/>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一般工业固体废物产生与利用处置情况</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caps w:val="0"/>
          <w:smallCaps w:val="0"/>
          <w:color w:val="000000" w:themeColor="text1"/>
          <w:sz w:val="32"/>
          <w:szCs w:val="32"/>
          <w14:textFill>
            <w14:solidFill>
              <w14:schemeClr w14:val="tx1"/>
            </w14:solidFill>
          </w14:textFill>
        </w:rPr>
        <w:t>产生状况。</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2016</w:t>
      </w:r>
      <w:r>
        <w:rPr>
          <w:rFonts w:hint="eastAsia" w:ascii="Times New Roman" w:hAnsi="Times New Roman" w:eastAsia="方正仿宋_GBK" w:cs="Times New Roman"/>
          <w:bCs/>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2020年梅河口市一般固体废物产生量相差不大，</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全市一般工业固体废物产生总量34.59万吨。产生种类主要为锅炉炉渣、药企中药渣、果壳及机加边角料等。产废行业主要为电力行业、药业、食品加工业及金属制品业。全市一般工业固体废物主要产生的单位总计有28家，主要包括吉林万通药业集团梅河药业股份有限公司、梅河口市泽源供热有限责任公司、茂祥集团吉林制药有限公司、通化谷红制药有限公司、梅河口市河东热力有限责任公司、梅河口市顺发饲料厂、梅河口市阜康热电有限责任公司、梅河口市河西供热有限责任公司、弘美制药（中国）有限公司、吉林恒金药业股份有限公司、梅河口市万通水泥制品有限公司、吉林金宝药业股份有限公司、吉林振澳制药有限公司、吉林冠界生物技术有限公司、梅河口市报人热力有限公司、梅河口市海山纸业有限责任公司、梅河口市华东供热有限公司、弘如制药有限公司、梅河口市弘业无缝钢管有限公司、吉林四环制药有限公司、梅河口市东北福食品有限责任公司、梅河口市啤酒有限责任公司、梅河口市三株供热有限责任公司、中央储备粮梅河口直属库、梅河口市四海宏达动物蛋白饲料有限公司、国能梅河口生物发电有限公司、吉林依华渔具股份有限公司、梅河口市跃兴砂轮特耐有限责任公司等。</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caps w:val="0"/>
          <w:smallCaps w:val="0"/>
          <w:color w:val="000000" w:themeColor="text1"/>
          <w:sz w:val="32"/>
          <w:szCs w:val="32"/>
          <w14:textFill>
            <w14:solidFill>
              <w14:schemeClr w14:val="tx1"/>
            </w14:solidFill>
          </w14:textFill>
        </w:rPr>
        <w:t>利用处置情况。</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2016</w:t>
      </w:r>
      <w:r>
        <w:rPr>
          <w:rFonts w:hint="eastAsia" w:ascii="Times New Roman" w:hAnsi="Times New Roman" w:eastAsia="方正仿宋_GBK" w:cs="Times New Roman"/>
          <w:bCs/>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2020年梅河口市一般固体废物年处置量略有差异，</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全市一般工业固体废物综合利用量31.95万吨，综合利用率92.34%，其中锅炉炉渣用作建材原料进行综合利用或铺路，中药渣制作有机肥或饲料，部分果壳用作燃料或粉碎用作饲料，机加边角料由废品回收单位回收处置。</w:t>
      </w:r>
    </w:p>
    <w:p>
      <w:pPr>
        <w:widowControl w:val="0"/>
        <w:kinsoku/>
        <w:wordWrap/>
        <w:overflowPunct/>
        <w:topLinePunct w:val="0"/>
        <w:autoSpaceDE/>
        <w:autoSpaceDN/>
        <w:bidi w:val="0"/>
        <w:spacing w:line="360" w:lineRule="auto"/>
        <w:jc w:val="center"/>
        <w:textAlignment w:val="auto"/>
        <w:rPr>
          <w:rFonts w:ascii="Times New Roman" w:hAnsi="Times New Roman"/>
          <w:b/>
          <w:caps w:val="0"/>
          <w:smallCaps w:val="0"/>
          <w:color w:val="000000" w:themeColor="text1"/>
          <w:sz w:val="28"/>
          <w:szCs w:val="28"/>
          <w14:textFill>
            <w14:solidFill>
              <w14:schemeClr w14:val="tx1"/>
            </w14:solidFill>
          </w14:textFill>
        </w:rPr>
      </w:pPr>
      <w:r>
        <w:rPr>
          <w:caps w:val="0"/>
          <w:smallCaps w:val="0"/>
          <w:color w:val="000000" w:themeColor="text1"/>
          <w14:textFill>
            <w14:solidFill>
              <w14:schemeClr w14:val="tx1"/>
            </w14:solidFill>
          </w14:textFill>
        </w:rPr>
        <w:drawing>
          <wp:inline distT="0" distB="0" distL="0" distR="0">
            <wp:extent cx="4572000" cy="2579370"/>
            <wp:effectExtent l="0" t="0" r="0" b="1143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val="0"/>
        <w:kinsoku/>
        <w:wordWrap/>
        <w:overflowPunct/>
        <w:topLinePunct w:val="0"/>
        <w:autoSpaceDE/>
        <w:autoSpaceDN/>
        <w:bidi w:val="0"/>
        <w:spacing w:line="360" w:lineRule="auto"/>
        <w:jc w:val="center"/>
        <w:textAlignment w:val="auto"/>
        <w:rPr>
          <w:rFonts w:hint="default" w:ascii="Times New Roman" w:hAnsi="Times New Roman" w:eastAsia="方正仿宋_GBK" w:cs="Times New Roman"/>
          <w:b w:val="0"/>
          <w:bCs/>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b w:val="0"/>
          <w:bCs/>
          <w:caps w:val="0"/>
          <w:smallCaps w:val="0"/>
          <w:color w:val="000000" w:themeColor="text1"/>
          <w:sz w:val="24"/>
          <w:szCs w:val="24"/>
          <w14:textFill>
            <w14:solidFill>
              <w14:schemeClr w14:val="tx1"/>
            </w14:solidFill>
          </w14:textFill>
        </w:rPr>
        <w:t>图1-2  梅河口</w:t>
      </w:r>
      <w:r>
        <w:rPr>
          <w:rFonts w:hint="eastAsia" w:ascii="方正仿宋_GBK" w:hAnsi="方正仿宋_GBK" w:eastAsia="方正仿宋_GBK" w:cs="方正仿宋_GBK"/>
          <w:b w:val="0"/>
          <w:bCs/>
          <w:caps w:val="0"/>
          <w:smallCaps w:val="0"/>
          <w:color w:val="000000" w:themeColor="text1"/>
          <w:sz w:val="24"/>
          <w:szCs w:val="24"/>
          <w14:textFill>
            <w14:solidFill>
              <w14:schemeClr w14:val="tx1"/>
            </w14:solidFill>
          </w14:textFill>
        </w:rPr>
        <w:t>市“十三五”一</w:t>
      </w:r>
      <w:r>
        <w:rPr>
          <w:rFonts w:hint="default" w:ascii="Times New Roman" w:hAnsi="Times New Roman" w:eastAsia="方正仿宋_GBK" w:cs="Times New Roman"/>
          <w:b w:val="0"/>
          <w:bCs/>
          <w:caps w:val="0"/>
          <w:smallCaps w:val="0"/>
          <w:color w:val="000000" w:themeColor="text1"/>
          <w:sz w:val="24"/>
          <w:szCs w:val="24"/>
          <w14:textFill>
            <w14:solidFill>
              <w14:schemeClr w14:val="tx1"/>
            </w14:solidFill>
          </w14:textFill>
        </w:rPr>
        <w:t>般固废产生及利用情况示意图</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危险废物产生与利用处置情况</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caps w:val="0"/>
          <w:smallCaps w:val="0"/>
          <w:color w:val="000000" w:themeColor="text1"/>
          <w:sz w:val="32"/>
          <w:szCs w:val="32"/>
          <w14:textFill>
            <w14:solidFill>
              <w14:schemeClr w14:val="tx1"/>
            </w14:solidFill>
          </w14:textFill>
        </w:rPr>
        <w:t>产生状况。</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2016</w:t>
      </w:r>
      <w:r>
        <w:rPr>
          <w:rFonts w:hint="eastAsia" w:ascii="Times New Roman" w:hAnsi="Times New Roman" w:eastAsia="方正仿宋_GBK" w:cs="Times New Roman"/>
          <w:bCs/>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2020年，梅河口市危险废物产生量总体上呈上升趋势，</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全市危险废物产生总量233.675吨。危险废物主要为各类废机油、化学试剂及废药品等。全市共有危险废物重点监管企业35家，分别为吉林冠界生物技术有限公司、通化鑫宇汽车销售有限公司梅河口市分公司、吉林四环制药有限公司、吉林万通药业集团梅河药业股份有限公司、梅河口市兴业精密钢管有限公司、梅河口市阜康运输有限公司、吉林振澳制药有限公司、茂祥集团吉林制药有限公司、梅河口市阜康酒精有限责任公司、中国铁路沈阳局集团有限公司梅河口机务段、吉林四长制药有限公司、梅河口市鑫利达汽车销售有限责任公司、弘和制药有限公司、梅河口市东北福食品有限责任公司、梅河口市阜康热电有限责任公司、吉林依华渔具股份有限公司、梅河口市金鹰汽车服务有限公司、吉林天成制药有限公司、弘美制药（中国）有限公司、融致丰生制药有限公司、梅河口市盛翔汽车销售服务有限公司、吉林金宝药业股份有限公司、吉林津升制药有限公司、通化谷红制药有限公司、吉林恒金药业股份有限公司、梅河口市金轩报废汽车回收拆解有限公司、梅河口万合汽车维修服务有限公司、梅河口市广通汽车销售服务有限公司、通化市宏彬汽车销售服务有限公司梅河口分公司、吉林创源化工有限公司、梅河口市三达水务有限公司、中国石油天然气股份有限公司吉林通化销售分公司梅河油库、中国石化销售股份有限公司吉林通化石油分公司朝阳山加油西站、中国石化销售有限公司吉林通化石油分公司友源加油站、中国石化销售有限公司吉林通化石油分公司进化加油站等。</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caps w:val="0"/>
          <w:smallCaps w:val="0"/>
          <w:color w:val="000000" w:themeColor="text1"/>
          <w:sz w:val="32"/>
          <w:szCs w:val="32"/>
          <w14:textFill>
            <w14:solidFill>
              <w14:schemeClr w14:val="tx1"/>
            </w14:solidFill>
          </w14:textFill>
        </w:rPr>
        <w:t>利用处置情况。</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2016</w:t>
      </w:r>
      <w:r>
        <w:rPr>
          <w:rFonts w:hint="eastAsia" w:ascii="Times New Roman" w:hAnsi="Times New Roman" w:eastAsia="方正仿宋_GBK" w:cs="Times New Roman"/>
          <w:bCs/>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2020年，梅河口市危险废物处置量总体上呈上升趋势，</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全市危险废物综合处置量233.675吨，梅河口市目前有3家为废机油及废矿物油收贮单位（1户正常经营，2户未营业），设计收贮能力7300吨/年。没有工业危废处置单位，企业产生的危废全部委托省内有资质的危险废物处置企业处置，安全处置率达到100%。</w:t>
      </w:r>
    </w:p>
    <w:p>
      <w:pPr>
        <w:widowControl w:val="0"/>
        <w:kinsoku/>
        <w:wordWrap/>
        <w:overflowPunct/>
        <w:topLinePunct w:val="0"/>
        <w:autoSpaceDE/>
        <w:autoSpaceDN/>
        <w:bidi w:val="0"/>
        <w:spacing w:line="360" w:lineRule="auto"/>
        <w:jc w:val="center"/>
        <w:textAlignment w:val="auto"/>
        <w:rPr>
          <w:rFonts w:ascii="Times New Roman" w:hAnsi="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b w:val="0"/>
          <w:bCs w:val="0"/>
          <w:caps w:val="0"/>
          <w:smallCaps w:val="0"/>
          <w:color w:val="000000" w:themeColor="text1"/>
          <w14:textFill>
            <w14:solidFill>
              <w14:schemeClr w14:val="tx1"/>
            </w14:solidFill>
          </w14:textFill>
        </w:rPr>
        <w:drawing>
          <wp:anchor distT="0" distB="0" distL="0" distR="0" simplePos="0" relativeHeight="251659264" behindDoc="0" locked="0" layoutInCell="1" allowOverlap="1">
            <wp:simplePos x="0" y="0"/>
            <wp:positionH relativeFrom="column">
              <wp:posOffset>374650</wp:posOffset>
            </wp:positionH>
            <wp:positionV relativeFrom="paragraph">
              <wp:posOffset>148590</wp:posOffset>
            </wp:positionV>
            <wp:extent cx="4824095" cy="2395220"/>
            <wp:effectExtent l="4445" t="5080" r="10160" b="19050"/>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default" w:ascii="Times New Roman" w:hAnsi="Times New Roman" w:eastAsia="方正仿宋_GBK" w:cs="Times New Roman"/>
          <w:b w:val="0"/>
          <w:bCs w:val="0"/>
          <w:caps w:val="0"/>
          <w:smallCaps w:val="0"/>
          <w:color w:val="000000" w:themeColor="text1"/>
          <w:sz w:val="24"/>
          <w:szCs w:val="24"/>
          <w14:textFill>
            <w14:solidFill>
              <w14:schemeClr w14:val="tx1"/>
            </w14:solidFill>
          </w14:textFill>
        </w:rPr>
        <w:t>图1-2  梅河口市</w:t>
      </w:r>
      <w:r>
        <w:rPr>
          <w:rFonts w:hint="eastAsia" w:ascii="方正仿宋_GBK" w:hAnsi="方正仿宋_GBK" w:eastAsia="方正仿宋_GBK" w:cs="方正仿宋_GBK"/>
          <w:b w:val="0"/>
          <w:bCs w:val="0"/>
          <w:caps w:val="0"/>
          <w:smallCaps w:val="0"/>
          <w:color w:val="000000" w:themeColor="text1"/>
          <w:sz w:val="24"/>
          <w:szCs w:val="24"/>
          <w14:textFill>
            <w14:solidFill>
              <w14:schemeClr w14:val="tx1"/>
            </w14:solidFill>
          </w14:textFill>
        </w:rPr>
        <w:t>“十三五”</w:t>
      </w:r>
      <w:r>
        <w:rPr>
          <w:rFonts w:hint="default" w:ascii="Times New Roman" w:hAnsi="Times New Roman" w:eastAsia="方正仿宋_GBK" w:cs="Times New Roman"/>
          <w:b w:val="0"/>
          <w:bCs w:val="0"/>
          <w:caps w:val="0"/>
          <w:smallCaps w:val="0"/>
          <w:color w:val="000000" w:themeColor="text1"/>
          <w:sz w:val="24"/>
          <w:szCs w:val="24"/>
          <w14:textFill>
            <w14:solidFill>
              <w14:schemeClr w14:val="tx1"/>
            </w14:solidFill>
          </w14:textFill>
        </w:rPr>
        <w:t>危险废物产生及利用情况示意图</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（三）</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医疗废物产生与利用处置情况</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2016</w:t>
      </w:r>
      <w:r>
        <w:rPr>
          <w:rFonts w:hint="eastAsia" w:ascii="Times New Roman" w:hAnsi="Times New Roman" w:eastAsia="方正仿宋_GBK" w:cs="Times New Roman"/>
          <w:bCs/>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Cs/>
          <w:caps w:val="0"/>
          <w:smallCaps w:val="0"/>
          <w:color w:val="000000" w:themeColor="text1"/>
          <w:sz w:val="32"/>
          <w:szCs w:val="32"/>
          <w14:textFill>
            <w14:solidFill>
              <w14:schemeClr w14:val="tx1"/>
            </w14:solidFill>
          </w14:textFill>
        </w:rPr>
        <w:t>2020年，梅河口市医疗废物处置量总体上呈上升趋势，</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2020年，市域内医疗废物产生总量365.903吨。医疗废物集中处置率达100</w:t>
      </w:r>
      <w:r>
        <w:rPr>
          <w:rFonts w:hint="eastAsia" w:ascii="宋体" w:hAnsi="宋体" w:eastAsia="宋体" w:cs="宋体"/>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医疗机构产生的污染物主要包括以下几种：一是医疗污泥；二是医疗污水；三是医疗废物（感染性、损伤性、病理性、药物性和化学性五种）。各乡镇产生的医疗污水由各乡镇卫生院分别运送到市妇幼保健院、市中医院统一处置，由</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市</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妇幼保健院、市中医院消毒处理后排入市政下水管道。医疗污泥委托吉林市医疗废弃物处置有限公司处置。我市建有医疗废物处置中心1座（梅河口市佰利洁垃圾处理有限公司，2019年1月建成），采用高温蒸煮方式处置医疗废物。目前医疗废物收运能力5吨/日，集中处置能力5吨/日。</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（四）</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农业固体废弃物产生及处置现状</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1.</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畜禽粪污</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全市规模养殖场畜禽粪污产生量114467.53吨，规模以下养殖场畜禽粪污产生量196173.2吨，规模养殖场畜禽粪污资源化利用量108751.35吨，规模以下养殖场户资源化利用量152398.55吨，全市畜禽粪污综合利用率达到84.04%。</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秸秆</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2020年全市农作物秸秆产生量为80万吨，全市综合利用农作物秸秆58万吨，综合利用率达到72%。其中，肥料化利用11%，每年消耗秸秆8万吨，主要通过大型玉米收割机收获、保护性耕作、灭茬等措施，将玉米</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秸秆</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粉碎还田或自然状态还田；燃料化利用37%，每年消耗秸秆31万吨，玉米秸秆作为燃料被农户自用于炊事和取暖；饲料化利用8%，每年消耗秸秆6万吨，主要作为农户养殖牛、鹿、羊等家畜养殖的粗饲料；原料化利用14%，每年消耗秸秆11万吨，主要用于造纸、生物发电工业原料。基料化利用2%，每年消耗秸秆2万吨，主要用于菌棒、沼气等辅助原料；28%的废弃秸秆被农民在田间焚烧。</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3.</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废旧农膜</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经统计，2020年梅河口市地膜覆膜总面积为8505亩，地膜年使用量为290吨，地膜年回收量232吨，地膜回收利用量为197.2吨，回收率达到80%以上。</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（五）</w:t>
      </w:r>
      <w:r>
        <w:rPr>
          <w:rFonts w:hint="eastAsia" w:ascii="方正楷体_GBK" w:hAnsi="方正楷体_GBK" w:eastAsia="方正楷体_GBK" w:cs="方正楷体_GBK"/>
          <w:b w:val="0"/>
          <w:bCs w:val="0"/>
          <w:caps w:val="0"/>
          <w:smallCaps w:val="0"/>
          <w:color w:val="000000" w:themeColor="text1"/>
          <w:sz w:val="32"/>
          <w:szCs w:val="32"/>
          <w14:textFill>
            <w14:solidFill>
              <w14:schemeClr w14:val="tx1"/>
            </w14:solidFill>
          </w14:textFill>
        </w:rPr>
        <w:t>生活垃圾及建筑垃圾产生及处置现状</w:t>
      </w: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1.</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生活垃圾</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主城区辖新华街道、解放街道、和平街道、福民街道、光明街道等5个街道，生活垃圾产生量为7.32万t/a，主城区外共辖海龙镇、黑山头镇、红梅镇、吉乐乡、进化镇、康大营镇、李炉乡、牛心顶镇、山城镇、曙光镇、双兴镇、水道镇、湾龙镇、小杨乡、新合镇、兴华镇、杏岭镇、一座营镇、中和镇等19个乡镇，287个行政村，各乡镇农村生活垃圾产生量为6.44万t/a，全市生活垃圾产生量为13.76万t/a。生活垃圾收运系统实现了城乡全覆盖。</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生活垃圾处理场位于梅河口市李炉乡连山村，距市区8公里，总投资1.29亿元，总占地面积为35.78公顷，设计处理能力为400吨/日，使用年限为17年。垃圾填埋场由卫生填埋区、渗滤液处理系统、综合管理区三部分组成，总填埋区库容量为360万立方米。垃圾填埋区采用HDPE防渗膜防渗，属于水平防渗结构。生活垃圾处理场于2011年4月15日正式开工建设，2013年11月15日基本建设完成并开始运行，2014年12通过省环保厅环保工程竣工验收</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2017年8月</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2019年9月，生活</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垃圾运至辽源天楹环保能源有限公司进行焚烧处置</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2019年10月—2022年2月，生活垃圾在梅河口市生活垃圾填埋场填埋处置。2022年3月</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直到梅河口垃圾焚烧发电厂运营为止</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，生活垃圾运至磐石市垃圾焚烧发电厂焚烧处置</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目前，梅河口市已实现城乡垃圾一体化，日产生活垃圾380吨。垃圾场Ⅰ填埋区已掩埋完毕并进行标准化封场，Ⅱ填埋区已掩埋区域进行封场，渗滤液池区域进行覆膜工程，Ⅲ填埋区为备用场地，Ⅳ填埋区拟建生活垃圾焚烧发电项目。现有2台日处理能力为100吨/台的移动式渗滤液处理设备，处理</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工艺为“两</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级DTRO蝶管式二级反渗透膜处理工</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；1个日处理能力为200吨的渗滤液处理车间，处理工艺采</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用“</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A</w:t>
      </w:r>
      <w:r>
        <w:rPr>
          <w:rFonts w:hint="default" w:ascii="Times New Roman" w:hAnsi="Times New Roman" w:eastAsia="方正仿宋_GBK" w:cs="Times New Roman"/>
          <w:caps w:val="0"/>
          <w:smallCaps w:val="0"/>
          <w:color w:val="000000" w:themeColor="text1"/>
          <w:sz w:val="32"/>
          <w:szCs w:val="32"/>
          <w:vertAlign w:val="superscript"/>
          <w14:textFill>
            <w14:solidFill>
              <w14:schemeClr w14:val="tx1"/>
            </w14:solidFill>
          </w14:textFill>
        </w:rPr>
        <w:t>2</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O+超滤纳滤膜处理工</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目前，19个乡镇农村生活垃圾已被纳入农村一体化保洁范围内，配套垃圾收运处理设施，市政府通过政府采购以购买服务的方式，</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通过公开招标形式与运营企业签订乡镇生活垃圾清运托管合同</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，依法依规开展垃圾治理工作，形成企业托管、乡镇监管、村级直管的管理格局，最终送到梅河口市垃圾处理场。</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梅河口市尚未建立单独餐厨垃圾集中收集、运输及处理体系。餐厨垃圾主要去向为饲养生猪或进入环卫收运体系最终送市垃圾处理场处置。</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建筑垃圾</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梅河口市建筑垃圾主要为楼盘新建、工程开工、旧城改造、房屋拆迁棚改及装修产生的渣土、弃土、弃料、余泥</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及其他</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废弃物。据测算，梅河口市每年建筑垃圾产生量14.89万吨，综合利用量14.2万吨，全市资源化综合利用率为95.37%。</w:t>
      </w:r>
    </w:p>
    <w:bookmarkEnd w:id="8"/>
    <w:p>
      <w:pPr>
        <w:pStyle w:val="50"/>
        <w:keepNext/>
        <w:keepLines/>
        <w:pageBreakBefore w:val="0"/>
        <w:widowControl w:val="0"/>
        <w:kinsoku/>
        <w:wordWrap/>
        <w:overflowPunct/>
        <w:topLinePunct w:val="0"/>
        <w:autoSpaceDE/>
        <w:autoSpaceDN/>
        <w:bidi w:val="0"/>
        <w:adjustRightInd/>
        <w:snapToGrid/>
        <w:spacing w:before="0" w:after="0" w:line="586" w:lineRule="exact"/>
        <w:ind w:firstLine="640" w:firstLineChars="200"/>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12" w:name="_Toc11868"/>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二、“十三五”固体废物污染防治工作管理现状</w:t>
      </w:r>
      <w:bookmarkEnd w:id="12"/>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近年来，梅河口市加大对全市固体废物进行规范化环境管理的力度，通过贯彻国家固体废物污染防治的法律法规，梅河口市固体废物的管理取得了显著成效。</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固体废物管理制度体系基本建立</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家先后颁布了《中华人民共和国固体废物污染环境防治法》《医疗废物管理条例》《危险废物经营许可证管理办法》《国家危险废物名录》《危险废物污染防治技术政策》《危险废物规范化管理指标体系》等法律法规，建立了危险废物鉴别、管理计划、申报登记、转移联单、经营许可、应急预案、标识、出口核准等8项管理制度，以及针对一般工业固废和危险废物的各项标准、技术规范和技术指南等。</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在国家相关法律法规</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政策制度的指导下，吉林省先后发布了《吉林省危险废物污染环境防治条例》、关于印发《进一步落实提升危险废物环境监管能力、利用处置能力和环境风险防范能力的实施意见》的通知、《吉林省生态环境保护条例》及修正案等相关法律法规。</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贯彻执行国家和吉林省相关法律法规，政策制度，相继编制和制定了《梅河口市农村生活垃圾一体化综合整治实施方案》《梅河口市水污染防治行动计划实施方案》《梅河口市清洁空气行动实施方案（2016</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2020年）》《梅河口市土壤污染防治工作方案》《梅河口</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市“无废城市”建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梅河口市生态环境局关于下发危险废物专项整治三年行动计划的通知》《坚决遏制固体废物非法转移倾倒加强危险废物全过程监管实施方案》《梅河口市危险废物规范化管理工作方案》等规范性文件及工作方案等，为生态环境部门监管和企业规范管理提供了依据，基本建立了较为完善的固体废物管理制度体系。</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固体废物规范化管理水平逐步增强</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认真贯彻国家关于固体废物规范化管理的要求，开展危险废物的专项整治活动，在全市范围内先后开展了废矿物油及废矿物油等危险废物以及医疗废物、生活垃圾、农业废塑料等专项整治工作，推进了梅河口市固体废物管理的规范化和精细化。通过动员培训、自查整改、核查整治和抽查验收四个阶段工作，摸清全市危险废物管理底数，取得了管理规范、应急联动等多方面成果。按照原国家环保部发布的《危险废物规范化管理指标体系》，制定了危险废物重点源产生单位专项检查及规范化管理工作方案，强化未纳入规范化管理企业危险废物去向问题的查办，消除危险废物污染环境的安全隐患。全市固体废物规范化管理水平逐步增强。</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（三）</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固体废物处理处置设施基本配置</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梅河口市固体废物综合利用和处置设施包括一般工业固体废物填埋场1座；医疗废物处置企业1家；废机油收集企业3家。我市固体废物处理处置设施基本配置。</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（四）</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固体废物环境管理能力不断提高</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梅河口市人民政府办公室发布《关于印发梅河口市坚决遏制固体废物非法转移倾倒加强危险废物全过程监管实施方案的通知》（梅政办函</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2018</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51号），以有效防控固体废物环境风险为目标，以危险废物污染和非法倾倒固体废物防治为重点，全面摸清固体废物特别是危险废物产生、贮存、转移、利用、处置全过程情况，落实部门监管责任。全面提升危险废物利用处置能力和全过程信息化监管水平。有效防范固体废物特别是危险废物非法转移倾倒突发环境事件的发生。</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2017年梅河口市生态环境局建立了环境监管网格体系，根据全市污染源数量、分布、监管任务等情况，以乡镇、街道为单元，将全市划分成24个监管网格。其中，城区以街道为单位划分5个监管网格，农村以乡镇为单位划分19个监管网格，将环境监管基本工作任务全面落实到具体人员，使网格内各重点排污单位、主要环境问题得到有效监管，实施分级监管模式。并依法开展了涉危险废物单位申报登记、管理计划及意外事故应急预案备案工作，实现了电子化危险废物转移联单全覆盖，搭建了企业危险废物日常管理信息化及数据分析平台。例行开展危险废物规范化管理考核工作，强化涉危险废物单位监管力度，依法严厉打击危险废物倾倒、非法处置利用等行为。</w:t>
      </w:r>
    </w:p>
    <w:p>
      <w:pPr>
        <w:pStyle w:val="50"/>
        <w:keepNext/>
        <w:keepLines/>
        <w:pageBreakBefore w:val="0"/>
        <w:widowControl w:val="0"/>
        <w:kinsoku/>
        <w:wordWrap/>
        <w:overflowPunct/>
        <w:topLinePunct w:val="0"/>
        <w:autoSpaceDE/>
        <w:autoSpaceDN/>
        <w:bidi w:val="0"/>
        <w:adjustRightInd/>
        <w:snapToGrid/>
        <w:spacing w:before="0" w:after="0" w:line="590" w:lineRule="exact"/>
        <w:ind w:firstLine="640" w:firstLineChars="200"/>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13" w:name="_Toc8519"/>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三、“十三五”固体废物处置存在问题</w:t>
      </w:r>
      <w:bookmarkEnd w:id="13"/>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b w:val="0"/>
          <w:bCs w:val="0"/>
          <w:caps w:val="0"/>
          <w:smallCaps w:val="0"/>
          <w:color w:val="000000" w:themeColor="text1"/>
          <w:sz w:val="32"/>
          <w:szCs w:val="32"/>
          <w14:textFill>
            <w14:solidFill>
              <w14:schemeClr w14:val="tx1"/>
            </w14:solidFill>
          </w14:textFill>
        </w:rPr>
        <w:t>全过程综合管理机制体制有待完善</w:t>
      </w: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固体废物管理部门职能交叉，固体废物管理工作缺乏系统性。固体废物种类繁多，涉及产生、收集、运输、利用、处置等环节及多个部门管理，现有口径统计数据缺乏有效衔接，无法准确分析固体废物的来源、产生工艺，委外处置利用固体废物最终去向、合法性无法明确，信息共享、部门协作机制缺失导致固体废物管理工作缺乏系统性，难以形成合力。固体废物产生者主体责任难以落实到位，尚未建立绩效评价与政绩考核体系，难以满足固体废物精细化管理要求。社会源危险废物管理缺位。</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城乡生活固体废物源头减量水平不足</w:t>
      </w: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生活垃圾重末端处置，轻源头减量。全市尚未开展生活垃圾分类工作，生活垃圾管理的重心长期放在末端处理环节，源头减量化、资源化利用工作相对滞后，全市生活垃圾源头减量化及资源化利用水平亟待提升。生活领域固体废物综合利用基础设施建设滞后，未形成完善的资源化、无害化处理体系。</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固体废物资源化利用水平不高</w:t>
      </w: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当前梅河口市固体废物资源化利用水平尚处于较低水平，生产规模小，自动化程度低，资源回收产生的效益不高，一方面需要招商、规划部门大力引进工艺先进、产品高附加值、低能耗的绿色生产企业，不断谋划产业集群，完善上下游产业链，同时，应多组织企业的管理人员学习提高低碳、循环、减排的理念，给企业提供资源回收的技术和资金扶持。</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（四）</w:t>
      </w:r>
      <w:r>
        <w:rPr>
          <w:rFonts w:hint="default"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企业经营者和公众参与度还有待加强</w:t>
      </w: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民众与企业在固废处置过程中的参与程度低、处理处置基地系统性设计不完善。比如，推动多年的垃圾分类之所以效果不理性，与公众参与程度低有直接关系。城市和企业在固体废物分类回收及处置的规划建设上重视程度也不高。因此，公众、企业和政府的联动和参与程度低，是</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在社会层面存在的一个瓶颈。废旧农膜、农药包装废弃物回收体系尚未建立。废旧农膜和农药包装废弃物回收处理工作缺少管理制度和资金支持，群众对废旧农膜及农药包装废弃物收集缺乏主动性和积极性，主体责任意识淡薄，大多数直接随意丢弃。</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（五）</w:t>
      </w:r>
      <w:r>
        <w:rPr>
          <w:rFonts w:hint="default"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固体废物管理力量薄弱</w:t>
      </w:r>
      <w:r>
        <w:rPr>
          <w:rFonts w:hint="eastAsia" w:ascii="方正楷体_GBK" w:hAnsi="方正楷体_GBK" w:eastAsia="方正楷体_GBK" w:cs="方正楷体_GBK"/>
          <w:b w:val="0"/>
          <w:bCs w:val="0"/>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梅河口市固体废物种类多，行业分散，管理难度大，固体废物管理力量薄弱，固体废物监管人员严重不足、技术力量缺乏，无法满足固体废物全过程精细化管理的要求。</w:t>
      </w:r>
    </w:p>
    <w:p>
      <w:pPr>
        <w:pStyle w:val="50"/>
        <w:keepNext/>
        <w:keepLines/>
        <w:pageBreakBefore w:val="0"/>
        <w:widowControl w:val="0"/>
        <w:kinsoku/>
        <w:wordWrap/>
        <w:overflowPunct/>
        <w:topLinePunct w:val="0"/>
        <w:autoSpaceDE/>
        <w:autoSpaceDN/>
        <w:bidi w:val="0"/>
        <w:adjustRightInd/>
        <w:snapToGrid/>
        <w:spacing w:before="0" w:after="0" w:line="586" w:lineRule="exact"/>
        <w:ind w:firstLine="640" w:firstLineChars="200"/>
        <w:textAlignment w:val="auto"/>
        <w:outlineLvl w:val="1"/>
        <w:rPr>
          <w:caps w:val="0"/>
          <w:smallCaps w:val="0"/>
          <w:color w:val="000000" w:themeColor="text1"/>
          <w:sz w:val="32"/>
          <w:szCs w:val="32"/>
          <w14:textFill>
            <w14:solidFill>
              <w14:schemeClr w14:val="tx1"/>
            </w14:solidFill>
          </w14:textFill>
        </w:rPr>
      </w:pPr>
      <w:bookmarkStart w:id="14" w:name="_Toc23695"/>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四、“十四五”面临形势</w:t>
      </w:r>
      <w:bookmarkEnd w:id="14"/>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“十四五”时</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期，我市将建</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成“无废城市”</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，努力当好践</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行“两山”理</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念、建设生态文明的模范生，并以碳达峰、碳中和为愿景，加快推动城市高质量发展，建设全域美丽宜居品质城市，固体废物污染防治工作将面临重大机遇和挑战。</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（一）</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机遇和有利因素</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一是</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积极推动固体废物处理向精细化、专业化、规模化、现代化方向发展，探索构建固体废物污染防治新格局，加快推进了固体废物污染治理工作向数字化转型。二是新时代生态文明建设要求坚定不移打好污染防治攻坚战，打造良好生态环境民生福祉，为固体废物污染防治工作锚定了新高度。三是碳达峰、碳中和要求加快能源结构转型、产业结构升级、循环经济发展、传统工业低碳化技术改造等，深入推动固体废物污染防治工作</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向“减量化、资源化、无害化”方</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向发展。</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主要挑战</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一是目前我市固体废物污染防治工作在利用处置方面的系统性、集成性方面仍有不足，利用处置设施布局分散，协同处置能力不足，导致利用处置碎片化现象明显，</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与“无废城市”建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要求仍存在一定差距。二是固体废物污染防治工作作为环境风险管控的重要内容、生态环境质量改善的重要保障、生态环境安全的基础工程，在生态文明建设实现新进步的阶段，面临更高的要求。三是我市以碳达峰、碳中和为重要抓手，推动城市高质量发展，碳达峰前重大项目集中建成投产，可能会引发固体废物产量新一轮增长，给固体废物污染防治工作带来压力。</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（三）</w:t>
      </w:r>
      <w:r>
        <w:rPr>
          <w:rFonts w:hint="eastAsia" w:ascii="方正楷体_GBK" w:hAnsi="方正楷体_GBK" w:eastAsia="方正楷体_GBK" w:cs="方正楷体_GBK"/>
          <w:caps w:val="0"/>
          <w:smallCaps w:val="0"/>
          <w:color w:val="000000" w:themeColor="text1"/>
          <w:sz w:val="32"/>
          <w:szCs w:val="32"/>
          <w14:textFill>
            <w14:solidFill>
              <w14:schemeClr w14:val="tx1"/>
            </w14:solidFill>
          </w14:textFill>
        </w:rPr>
        <w:t>产量预测</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t>危险废物。</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预计到 2025 年，危险废物总产量约为298.23吨，拟建危险废物处置能力能够基本满足远景处置需求，应重点优化危险废物处置能力结构。医疗废物产生量约为467吨，根据后疫情时期国家对医疗废物处置设施的要求，仍需加快推动处置设施建设。</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t>一般工业固废。</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预计到 2025 年，一般工业固体废物产生量约为44.15万吨，应加强一般工业固体废物资源化利用，持续推动一般工业固体废物协同处置能力建设。</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t>生活垃圾。</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由于新冠疫情，生活垃圾产生总量以 2020年为基数，预计到 2025 年，生活垃圾实</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现“零增长”</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，人均生活垃圾产生量持续下降，应持续加强生活垃圾源头分类。</w:t>
      </w:r>
    </w:p>
    <w:p>
      <w:pPr>
        <w:pStyle w:val="2"/>
        <w:keepNext w:val="0"/>
        <w:keepLines/>
        <w:pageBreakBefore/>
        <w:widowControl w:val="0"/>
        <w:kinsoku/>
        <w:wordWrap/>
        <w:overflowPunct/>
        <w:topLinePunct w:val="0"/>
        <w:autoSpaceDE/>
        <w:autoSpaceDN/>
        <w:bidi w:val="0"/>
        <w:adjustRightInd/>
        <w:snapToGrid/>
        <w:spacing w:before="0" w:after="0" w:line="640" w:lineRule="exact"/>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pPr>
      <w:bookmarkStart w:id="15" w:name="_Toc32525"/>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第二章 指导思想、原则及依据</w:t>
      </w:r>
      <w:bookmarkEnd w:id="15"/>
    </w:p>
    <w:p>
      <w:pPr>
        <w:pStyle w:val="50"/>
        <w:keepNext/>
        <w:keepLines/>
        <w:pageBreakBefore w:val="0"/>
        <w:widowControl w:val="0"/>
        <w:kinsoku/>
        <w:wordWrap/>
        <w:overflowPunct/>
        <w:topLinePunct w:val="0"/>
        <w:autoSpaceDE/>
        <w:autoSpaceDN/>
        <w:bidi w:val="0"/>
        <w:adjustRightInd/>
        <w:snapToGrid/>
        <w:spacing w:before="0" w:after="0" w:line="586" w:lineRule="exact"/>
        <w:ind w:firstLine="640" w:firstLineChars="200"/>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16" w:name="_Toc10567"/>
    </w:p>
    <w:p>
      <w:pPr>
        <w:pStyle w:val="50"/>
        <w:keepNext/>
        <w:keepLines/>
        <w:pageBreakBefore w:val="0"/>
        <w:widowControl w:val="0"/>
        <w:kinsoku/>
        <w:wordWrap/>
        <w:overflowPunct/>
        <w:topLinePunct w:val="0"/>
        <w:autoSpaceDE/>
        <w:autoSpaceDN/>
        <w:bidi w:val="0"/>
        <w:adjustRightInd/>
        <w:snapToGrid/>
        <w:spacing w:before="0" w:after="0" w:line="586" w:lineRule="exact"/>
        <w:ind w:firstLine="640" w:firstLineChars="200"/>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一、指导思想</w:t>
      </w:r>
      <w:bookmarkEnd w:id="16"/>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紧紧围绕加快推进全市生态文明建设的总目标，全面贯彻习近平总书记</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“绿水青山就是金山银山”的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发展理念，依法推进固体废物污染防治工作，遵循减量化、资源化和无害化的原则，以固体废物全过程管理为主线</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为抓手，合理规划固体废物利用处置设施的能力与布局，大力推进再生资源产业园区建设，使固体废物污染防治向规模化、专业化、规范化转变，努力实现固体废物污染防治全过程监管，切实落实生态环境保护责任主体，提升梅河口市固体废物规范化管理水平，有效防范环境风险和保障生态环境安全。</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17" w:name="_Toc511655227"/>
      <w:bookmarkStart w:id="18" w:name="_Toc2412"/>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二、</w:t>
      </w:r>
      <w:bookmarkEnd w:id="17"/>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规划原则</w:t>
      </w:r>
      <w:bookmarkEnd w:id="18"/>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统筹兼顾、合理布局</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统筹本规划与相关规划、</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“无废城市”“双碳”政策</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的衔接，与梅河口市经济发展、环境保护总体规划相融合。综合考虑各区固体废物产生种类、数量和分布，在全市范围内对固体废物利用处置措施统筹规划布局。</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源头管控、防控风险</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全面推行新修订的《中华人民共和国环境保护法》，严格执行环境影响评价审批，强化建设项目的环境准入管理，坚持从源头防范环境风险，从生产环节防控，向源头物质防控和后端的储存、运输、处置环节进行延伸，建立全生命周期的防控体系。</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提升能力、改革创新</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积极开展固体废物污染防治领域的技术和管理研究，全面提升固体废物利用处置和环境监管能力，促进传统化管理手段向信息化管理的转变。通过排污许可制度、固体废物进口管理等制度改革，开启固体废物污染防治的新篇章。</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（四）</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完善制度、协同共治</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6" w:lineRule="exact"/>
        <w:ind w:firstLine="640" w:firstLineChars="20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建立健全固体废物管理制度和规范，落实企业环境治理主体责任，明确相关部门职责分工，推动形成同频共振、同向发力的良好格局。从主要依靠行政办法，转变为综合运用法律、经济和技术手段，防治固体废物污染。建立固体废物产生处理信息公开制度，充分发挥社会监督和群众监督的作用，协同共治。</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19" w:name="_Toc20659"/>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三、规划依据</w:t>
      </w:r>
      <w:bookmarkEnd w:id="19"/>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《中华人民共和国环境保护法》</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2015年1月1日</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《中华人民共和国固体废物污染环境防治法》</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2020年4月29日修订</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《电子废物污染环境防治管理办法》</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（环办</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08</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12号</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《医疗废物管理条例》</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国务院令第</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3</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80</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号</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《危险废物经营许可证管理办法》</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国务院第408号</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《国家危险废物名录》；</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《危险废物污染防治技术政策》（环发</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01</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199</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号</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《危险废物规范化管理指标体系》（环办</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2015</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99号）；</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关于发布</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水泥窑协同处置固体废物污染防治技术政策</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的公告</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（环境保护部公告 2016年 第72号）；</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关于发布</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水泥窑协同处置危险废物经营许可证审查指南（试行）</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的公告</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（环境保护部公告 2017年 第22号）；</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《国务院关于印</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发“十三五”生</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态环境保护规划的通知》（国发</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2016</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65号）；</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《关于印发</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“十三五”全</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国危险废物规范化管理督查考核工作方案</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的通知》（环办土壤函</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2017</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662号）；</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《关于发布</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一般工业固体废物贮存和填埋污染控制标准</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等三项固体废物污染控制标准的公告》（生态环境部公告2020年第65号）；</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《吉林省生态环境保护条例》；</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《吉林省危险废物污染环境防治条例》（</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2021年修订</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《吉林省环境保</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护“十三五”规划》</w:t>
      </w:r>
      <w:r>
        <w:rPr>
          <w:rFonts w:hint="eastAsia" w:ascii="方正仿宋_GBK" w:hAnsi="方正仿宋_GBK" w:eastAsia="方正仿宋_GBK" w:cs="方正仿宋_GBK"/>
          <w:caps w:val="0"/>
          <w:smallCaps w:val="0"/>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吉</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政办发〔</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2017</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7</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号</w:t>
      </w:r>
      <w:r>
        <w:rPr>
          <w:rFonts w:hint="eastAsia" w:ascii="方正仿宋_GBK" w:hAnsi="方正仿宋_GBK" w:eastAsia="方正仿宋_GBK" w:cs="方正仿宋_GBK"/>
          <w:caps w:val="0"/>
          <w:smallCaps w:val="0"/>
          <w:color w:val="000000" w:themeColor="text1"/>
          <w:sz w:val="32"/>
          <w:szCs w:val="32"/>
          <w:lang w:eastAsia="zh-CN"/>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《关于印发</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进一步落实提升危险废物环境监管能力、利用处置能力和环境风险防范能力的实施意见</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的通知》</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吉环固体字〔2020〕12号</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《梅河口市坚决遏制固体废物非法转移倾倒加强危险废物全过程监管实施方案》</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（梅政办函</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18</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51</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号</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《梅河口市生态环境保护</w:t>
      </w:r>
      <w:r>
        <w:rPr>
          <w:rFonts w:hint="eastAsia" w:ascii="Times New Roman" w:hAnsi="Times New Roman" w:eastAsia="方正仿宋_GBK" w:cs="Times New Roman"/>
          <w:b w:val="0"/>
          <w:bCs w:val="0"/>
          <w:caps w:val="0"/>
          <w:smallCaps w:val="0"/>
          <w:color w:val="000000" w:themeColor="text1"/>
          <w:sz w:val="32"/>
          <w:szCs w:val="32"/>
          <w14:textFill>
            <w14:solidFill>
              <w14:schemeClr w14:val="tx1"/>
            </w14:solidFill>
          </w14:textFill>
        </w:rPr>
        <w:t>“十三五”规</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划》</w:t>
      </w:r>
      <w:r>
        <w:rPr>
          <w:rFonts w:hint="eastAsia" w:ascii="Times New Roman" w:hAnsi="Times New Roman" w:eastAsia="方正仿宋_GBK" w:cs="Times New Roman"/>
          <w:b w:val="0"/>
          <w:bCs w:val="0"/>
          <w:caps w:val="0"/>
          <w:smallCaps w:val="0"/>
          <w:color w:val="000000" w:themeColor="text1"/>
          <w:sz w:val="32"/>
          <w:szCs w:val="32"/>
          <w:lang w:eastAsia="zh-CN"/>
          <w14:textFill>
            <w14:solidFill>
              <w14:schemeClr w14:val="tx1"/>
            </w14:solidFill>
          </w14:textFill>
        </w:rPr>
        <w:t>（梅政办发</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〔20</w:t>
      </w:r>
      <w:r>
        <w:rPr>
          <w:rFonts w:hint="eastAsia" w:ascii="Times New Roman" w:hAnsi="Times New Roman" w:eastAsia="方正仿宋_GBK" w:cs="Times New Roman"/>
          <w:b w:val="0"/>
          <w:bCs w:val="0"/>
          <w:caps w:val="0"/>
          <w:smallCaps w:val="0"/>
          <w:color w:val="000000" w:themeColor="text1"/>
          <w:sz w:val="32"/>
          <w:szCs w:val="32"/>
          <w:lang w:val="en-US" w:eastAsia="zh-CN"/>
          <w14:textFill>
            <w14:solidFill>
              <w14:schemeClr w14:val="tx1"/>
            </w14:solidFill>
          </w14:textFill>
        </w:rPr>
        <w:t>17</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w:t>
      </w:r>
      <w:r>
        <w:rPr>
          <w:rFonts w:hint="eastAsia" w:ascii="Times New Roman" w:hAnsi="Times New Roman" w:eastAsia="方正仿宋_GBK" w:cs="Times New Roman"/>
          <w:b w:val="0"/>
          <w:bCs w:val="0"/>
          <w:caps w:val="0"/>
          <w:smallCaps w:val="0"/>
          <w:color w:val="000000" w:themeColor="text1"/>
          <w:sz w:val="32"/>
          <w:szCs w:val="32"/>
          <w:lang w:val="en-US" w:eastAsia="zh-CN"/>
          <w14:textFill>
            <w14:solidFill>
              <w14:schemeClr w14:val="tx1"/>
            </w14:solidFill>
          </w14:textFill>
        </w:rPr>
        <w:t>48</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号</w:t>
      </w:r>
      <w:r>
        <w:rPr>
          <w:rFonts w:hint="eastAsia" w:ascii="Times New Roman" w:hAnsi="Times New Roman" w:eastAsia="方正仿宋_GBK" w:cs="Times New Roman"/>
          <w:b w:val="0"/>
          <w:bCs w:val="0"/>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w:t>
      </w:r>
    </w:p>
    <w:p>
      <w:pPr>
        <w:pStyle w:val="49"/>
        <w:keepNext w:val="0"/>
        <w:keepLines w:val="0"/>
        <w:pageBreakBefore w:val="0"/>
        <w:widowControl w:val="0"/>
        <w:numPr>
          <w:ilvl w:val="0"/>
          <w:numId w:val="1"/>
        </w:numPr>
        <w:kinsoku/>
        <w:wordWrap/>
        <w:overflowPunct/>
        <w:topLinePunct w:val="0"/>
        <w:autoSpaceDE/>
        <w:autoSpaceDN/>
        <w:bidi w:val="0"/>
        <w:adjustRightInd/>
        <w:snapToGrid/>
        <w:spacing w:line="586" w:lineRule="exact"/>
        <w:ind w:left="0" w:firstLine="420" w:firstLineChars="0"/>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《梅河口市危险废物专项整治三年行动计划》</w:t>
      </w:r>
      <w:r>
        <w:rPr>
          <w:rFonts w:hint="eastAsia" w:ascii="Times New Roman" w:hAnsi="Times New Roman" w:eastAsia="方正仿宋_GBK" w:cs="Times New Roman"/>
          <w:b w:val="0"/>
          <w:bCs w:val="0"/>
          <w:caps w:val="0"/>
          <w:smallCaps w:val="0"/>
          <w:color w:val="000000" w:themeColor="text1"/>
          <w:sz w:val="32"/>
          <w:szCs w:val="32"/>
          <w:lang w:eastAsia="zh-CN"/>
          <w14:textFill>
            <w14:solidFill>
              <w14:schemeClr w14:val="tx1"/>
            </w14:solidFill>
          </w14:textFill>
        </w:rPr>
        <w:t>（梅环发</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〔2020〕</w:t>
      </w:r>
      <w:r>
        <w:rPr>
          <w:rFonts w:hint="eastAsia" w:ascii="Times New Roman" w:hAnsi="Times New Roman" w:eastAsia="方正仿宋_GBK" w:cs="Times New Roman"/>
          <w:b w:val="0"/>
          <w:bCs w:val="0"/>
          <w:caps w:val="0"/>
          <w:smallCaps w:val="0"/>
          <w:color w:val="000000" w:themeColor="text1"/>
          <w:sz w:val="32"/>
          <w:szCs w:val="32"/>
          <w:lang w:val="en-US" w:eastAsia="zh-CN"/>
          <w14:textFill>
            <w14:solidFill>
              <w14:schemeClr w14:val="tx1"/>
            </w14:solidFill>
          </w14:textFill>
        </w:rPr>
        <w:t>39号</w:t>
      </w:r>
      <w:r>
        <w:rPr>
          <w:rFonts w:hint="eastAsia" w:ascii="Times New Roman" w:hAnsi="Times New Roman" w:eastAsia="方正仿宋_GBK" w:cs="Times New Roman"/>
          <w:b w:val="0"/>
          <w:bCs w:val="0"/>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b w:val="0"/>
          <w:bCs w:val="0"/>
          <w:caps w:val="0"/>
          <w:smallCaps w:val="0"/>
          <w:color w:val="000000" w:themeColor="text1"/>
          <w:sz w:val="32"/>
          <w:szCs w:val="32"/>
          <w14:textFill>
            <w14:solidFill>
              <w14:schemeClr w14:val="tx1"/>
            </w14:solidFill>
          </w14:textFill>
        </w:rPr>
        <w:t>。</w:t>
      </w:r>
    </w:p>
    <w:p>
      <w:pPr>
        <w:pStyle w:val="2"/>
        <w:keepNext w:val="0"/>
        <w:keepLines/>
        <w:pageBreakBefore/>
        <w:widowControl w:val="0"/>
        <w:kinsoku/>
        <w:wordWrap/>
        <w:overflowPunct/>
        <w:topLinePunct w:val="0"/>
        <w:autoSpaceDE/>
        <w:autoSpaceDN/>
        <w:bidi w:val="0"/>
        <w:adjustRightInd/>
        <w:snapToGrid/>
        <w:spacing w:before="0" w:after="0" w:line="640" w:lineRule="exact"/>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pPr>
      <w:bookmarkStart w:id="20" w:name="_Toc30506"/>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第三章 规划目标</w:t>
      </w:r>
      <w:bookmarkEnd w:id="20"/>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21" w:name="_Toc13452"/>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一、规划期限和范围</w:t>
      </w:r>
      <w:bookmarkEnd w:id="21"/>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caps w:val="0"/>
          <w:smallCaps w:val="0"/>
          <w:color w:val="000000" w:themeColor="text1"/>
          <w:sz w:val="32"/>
          <w:szCs w:val="32"/>
          <w14:textFill>
            <w14:solidFill>
              <w14:schemeClr w14:val="tx1"/>
            </w14:solidFill>
          </w14:textFill>
        </w:rPr>
        <w:t>规划期限：</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2021</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2025年；</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b/>
          <w:caps w:val="0"/>
          <w:smallCaps w:val="0"/>
          <w:color w:val="000000" w:themeColor="text1"/>
          <w:sz w:val="32"/>
          <w:szCs w:val="32"/>
          <w14:textFill>
            <w14:solidFill>
              <w14:schemeClr w14:val="tx1"/>
            </w14:solidFill>
          </w14:textFill>
        </w:rPr>
        <w:t>规划范围</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行政区域，主城区辖新华街道、解放街道、和平街道、福民街道、光明街道等5个街道；主城区外共辖海龙镇、黑山头镇、红梅镇、吉乐乡、进化镇、康大营镇、李炉乡、牛心顶镇、山城镇、曙光镇、双兴镇、水道镇、湾龙镇、小杨乡、新合镇、兴华镇、杏岭镇、一座营镇、中和镇等19个乡镇，287个行政村。</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22" w:name="_Toc511655228"/>
      <w:bookmarkStart w:id="23" w:name="_Toc14595"/>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二、</w:t>
      </w:r>
      <w:bookmarkEnd w:id="22"/>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总体目标</w:t>
      </w:r>
      <w:bookmarkEnd w:id="23"/>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bookmarkStart w:id="24" w:name="_Toc496866290"/>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到 2025 年，固体废物源头减量效果明显，基本实现产废无增长；分类收运体系全覆盖，基本实现固废无倾倒；资源化利用水平持续提高，基本实现资源无浪费；处置能力与实际产生量相匹配，基本实现设施无缺口；数字化监管水平不断提升，基本实现监管无盲区；体制机制逐步完善，基本实现保障无缺位，全面形</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成“全类型、全覆盖、全过程”的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固体废物分类处置和资源化利用体系，基本建成</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“源头管理精细化、贮存转运规范化、过程监控信息化、设施布局科学化、最终处置无害化”的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固体废物污染防治新体系。</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25" w:name="_Toc18685"/>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三、具体指标</w:t>
      </w:r>
      <w:bookmarkEnd w:id="25"/>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国家指标体系由一级指标、二级指标和三级指标组成，其中一级指标5个、二级指标18个、三级指标59个（其中必选指标22项，可选择指标37项）。</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结合本市固体废物管理现状、发展趋势、技术经济条件等实际情况，以创新、协调、绿色、开放、共享的发展理念为引领，坚持科学性、系统性、可操作性和前瞻性原则，以固体废物减量化和资源化利用为核心，涵盖固体废物源头减量、资源化利用、最终处置、保障能力、群众获得感等方面，设</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置“无废城市”建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设试点指标体系。选择48项指标构成梅河口市固体</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废物“十四五”规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划建设指标体系（包括22项必选指标及26项可选指标）。</w:t>
      </w:r>
    </w:p>
    <w:p>
      <w:pPr>
        <w:widowControl w:val="0"/>
        <w:tabs>
          <w:tab w:val="left" w:pos="3005"/>
        </w:tabs>
        <w:kinsoku/>
        <w:wordWrap/>
        <w:overflowPunct/>
        <w:topLinePunct w:val="0"/>
        <w:autoSpaceDE/>
        <w:autoSpaceDN/>
        <w:bidi w:val="0"/>
        <w:textAlignment w:val="auto"/>
        <w:rPr>
          <w:rFonts w:asciiTheme="minorEastAsia" w:hAnsiTheme="minorEastAsia" w:cstheme="minorEastAsia"/>
          <w:caps w:val="0"/>
          <w:smallCaps w:val="0"/>
          <w:color w:val="000000" w:themeColor="text1"/>
          <w:sz w:val="28"/>
          <w:szCs w:val="28"/>
          <w14:textFill>
            <w14:solidFill>
              <w14:schemeClr w14:val="tx1"/>
            </w14:solidFill>
          </w14:textFill>
        </w:rPr>
      </w:pPr>
      <w:r>
        <w:rPr>
          <w:rFonts w:asciiTheme="minorEastAsia" w:hAnsiTheme="minorEastAsia" w:cstheme="minorEastAsia"/>
          <w:caps w:val="0"/>
          <w:smallCaps w:val="0"/>
          <w:color w:val="000000" w:themeColor="text1"/>
          <w:sz w:val="28"/>
          <w:szCs w:val="28"/>
          <w14:textFill>
            <w14:solidFill>
              <w14:schemeClr w14:val="tx1"/>
            </w14:solidFill>
          </w14:textFill>
        </w:rPr>
        <w:tab/>
      </w:r>
    </w:p>
    <w:p>
      <w:pPr>
        <w:widowControl w:val="0"/>
        <w:tabs>
          <w:tab w:val="left" w:pos="3570"/>
        </w:tabs>
        <w:kinsoku/>
        <w:wordWrap/>
        <w:overflowPunct/>
        <w:topLinePunct w:val="0"/>
        <w:autoSpaceDE/>
        <w:autoSpaceDN/>
        <w:bidi w:val="0"/>
        <w:textAlignment w:val="auto"/>
        <w:rPr>
          <w:rFonts w:asciiTheme="minorEastAsia" w:hAnsiTheme="minorEastAsia" w:cstheme="minorEastAsia"/>
          <w:caps w:val="0"/>
          <w:smallCaps w:val="0"/>
          <w:color w:val="000000" w:themeColor="text1"/>
          <w:sz w:val="28"/>
          <w:szCs w:val="28"/>
          <w14:textFill>
            <w14:solidFill>
              <w14:schemeClr w14:val="tx1"/>
            </w14:solidFill>
          </w14:textFill>
        </w:rPr>
        <w:sectPr>
          <w:footerReference r:id="rId10" w:type="default"/>
          <w:pgSz w:w="11906" w:h="16838"/>
          <w:pgMar w:top="1440" w:right="1587" w:bottom="1361" w:left="1587" w:header="851" w:footer="992" w:gutter="0"/>
          <w:pgNumType w:fmt="decimal"/>
          <w:cols w:space="0" w:num="1"/>
          <w:rtlGutter w:val="0"/>
          <w:docGrid w:type="linesAndChars" w:linePitch="312" w:charSpace="0"/>
        </w:sectPr>
      </w:pPr>
      <w:r>
        <w:rPr>
          <w:rFonts w:asciiTheme="minorEastAsia" w:hAnsiTheme="minorEastAsia" w:cstheme="minorEastAsia"/>
          <w:caps w:val="0"/>
          <w:smallCaps w:val="0"/>
          <w:color w:val="000000" w:themeColor="text1"/>
          <w:sz w:val="28"/>
          <w:szCs w:val="28"/>
          <w14:textFill>
            <w14:solidFill>
              <w14:schemeClr w14:val="tx1"/>
            </w14:solidFill>
          </w14:textFill>
        </w:rPr>
        <w:tab/>
      </w:r>
    </w:p>
    <w:p>
      <w:pPr>
        <w:widowControl w:val="0"/>
        <w:kinsoku/>
        <w:wordWrap/>
        <w:overflowPunct/>
        <w:topLinePunct w:val="0"/>
        <w:autoSpaceDE/>
        <w:autoSpaceDN/>
        <w:bidi w:val="0"/>
        <w:jc w:val="center"/>
        <w:textAlignment w:val="auto"/>
        <w:rPr>
          <w:rFonts w:hint="eastAsia" w:ascii="方正小标宋_GBK" w:hAnsi="方正小标宋_GBK" w:eastAsia="方正小标宋_GBK" w:cs="方正小标宋_GBK"/>
          <w:b w:val="0"/>
          <w:bCs w:val="0"/>
          <w:caps w:val="0"/>
          <w:smallCaps w:val="0"/>
          <w:color w:val="000000" w:themeColor="text1"/>
          <w:spacing w:val="-5"/>
          <w:sz w:val="24"/>
          <w:szCs w:val="24"/>
          <w14:textFill>
            <w14:solidFill>
              <w14:schemeClr w14:val="tx1"/>
            </w14:solidFill>
          </w14:textFill>
        </w:rPr>
      </w:pPr>
      <w:r>
        <w:rPr>
          <w:rFonts w:hint="eastAsia" w:ascii="方正小标宋_GBK" w:hAnsi="方正小标宋_GBK" w:eastAsia="方正小标宋_GBK" w:cs="方正小标宋_GBK"/>
          <w:b w:val="0"/>
          <w:bCs w:val="0"/>
          <w:caps w:val="0"/>
          <w:smallCaps w:val="0"/>
          <w:color w:val="000000" w:themeColor="text1"/>
          <w:spacing w:val="-5"/>
          <w:sz w:val="24"/>
          <w:szCs w:val="24"/>
          <w14:textFill>
            <w14:solidFill>
              <w14:schemeClr w14:val="tx1"/>
            </w14:solidFill>
          </w14:textFill>
        </w:rPr>
        <w:t>表3-1  梅河口市固体废物污染防治“十四五”规划主要指标一览表</w:t>
      </w:r>
    </w:p>
    <w:tbl>
      <w:tblPr>
        <w:tblStyle w:val="25"/>
        <w:tblW w:w="50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0" w:type="dxa"/>
          <w:bottom w:w="0" w:type="dxa"/>
          <w:right w:w="0" w:type="dxa"/>
        </w:tblCellMar>
      </w:tblPr>
      <w:tblGrid>
        <w:gridCol w:w="689"/>
        <w:gridCol w:w="1085"/>
        <w:gridCol w:w="942"/>
        <w:gridCol w:w="1509"/>
        <w:gridCol w:w="4816"/>
        <w:gridCol w:w="1879"/>
        <w:gridCol w:w="1622"/>
        <w:gridCol w:w="1223"/>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00" w:hRule="atLeast"/>
          <w:jc w:val="center"/>
        </w:trPr>
        <w:tc>
          <w:tcPr>
            <w:tcW w:w="231"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序号</w:t>
            </w:r>
          </w:p>
        </w:tc>
        <w:tc>
          <w:tcPr>
            <w:tcW w:w="364"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指标对应编号</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一级</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指标</w:t>
            </w: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二级</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指标</w:t>
            </w:r>
          </w:p>
        </w:tc>
        <w:tc>
          <w:tcPr>
            <w:tcW w:w="1615"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三级指标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现状值</w:t>
            </w:r>
          </w:p>
        </w:tc>
        <w:tc>
          <w:tcPr>
            <w:tcW w:w="954" w:type="pct"/>
            <w:gridSpan w:val="2"/>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目标值</w:t>
            </w:r>
          </w:p>
        </w:tc>
        <w:tc>
          <w:tcPr>
            <w:tcW w:w="381"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02" w:hRule="atLeast"/>
          <w:jc w:val="center"/>
        </w:trPr>
        <w:tc>
          <w:tcPr>
            <w:tcW w:w="231"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p>
        </w:tc>
        <w:tc>
          <w:tcPr>
            <w:tcW w:w="364"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2020年</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szCs w:val="24"/>
                <w:lang w:bidi="ar"/>
                <w14:textFill>
                  <w14:solidFill>
                    <w14:schemeClr w14:val="tx1"/>
                  </w14:solidFill>
                </w14:textFill>
              </w:rPr>
              <w:t>2022年</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t>2025年</w:t>
            </w:r>
          </w:p>
        </w:tc>
        <w:tc>
          <w:tcPr>
            <w:tcW w:w="381"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kern w:val="0"/>
                <w:sz w:val="24"/>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固体</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源头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减量</w:t>
            </w: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工业源头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减量</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工业固体废物产生强度★</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0.53</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≤0.5</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≤0.4</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吨/万元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w w:val="99"/>
                <w:sz w:val="24"/>
                <w14:textFill>
                  <w14:solidFill>
                    <w14:schemeClr w14:val="tx1"/>
                  </w14:solidFill>
                </w14:textFill>
              </w:rPr>
            </w:pPr>
            <w:r>
              <w:rPr>
                <w:rFonts w:hint="default" w:ascii="Times New Roman" w:hAnsi="Times New Roman" w:eastAsia="方正仿宋_GBK" w:cs="Times New Roman"/>
                <w:caps w:val="0"/>
                <w:smallCaps w:val="0"/>
                <w:color w:val="000000" w:themeColor="text1"/>
                <w:w w:val="99"/>
                <w:sz w:val="24"/>
                <w:szCs w:val="24"/>
                <w14:textFill>
                  <w14:solidFill>
                    <w14:schemeClr w14:val="tx1"/>
                  </w14:solidFill>
                </w14:textFill>
              </w:rPr>
              <w:t>2</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实施清洁生产工业企业占比★</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w w:val="99"/>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w w:val="99"/>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开展绿色工厂建设的企业数量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09"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开展生态工业园区建设、</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循环化改造的工业园区数量★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5</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开展绿色矿山建设的矿山数量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01"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6</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农业源头</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减量</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开展生态农业示范县、种养结合循环农业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示范县建设数量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02" w:hRule="atLeast"/>
          <w:jc w:val="center"/>
        </w:trPr>
        <w:tc>
          <w:tcPr>
            <w:tcW w:w="231"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7</w:t>
            </w:r>
          </w:p>
        </w:tc>
        <w:tc>
          <w:tcPr>
            <w:tcW w:w="364"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7</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农药使用量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667.77</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≤550</w:t>
            </w:r>
          </w:p>
        </w:tc>
        <w:tc>
          <w:tcPr>
            <w:tcW w:w="381"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02" w:hRule="atLeast"/>
          <w:jc w:val="center"/>
        </w:trPr>
        <w:tc>
          <w:tcPr>
            <w:tcW w:w="231"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364"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化肥使用量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89683</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≤85000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≤80000</w:t>
            </w:r>
          </w:p>
        </w:tc>
        <w:tc>
          <w:tcPr>
            <w:tcW w:w="381"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8</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绿色食品、有机农产品种植推广面积占比</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12.81</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≥18</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570"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9</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建筑业源头减量</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绿色建筑占新建建筑的比例</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≥93</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10</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生活领域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源头减量</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人均生活垃圾日产生量★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0.645</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≤0.64</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≤0.6</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kg/人·日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11</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11</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生活垃圾分类收运系统覆盖率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0.30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62"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12</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13</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快递绿色包装使用比例</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13</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14</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固体废物资源化利用</w:t>
            </w: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工业固体</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废物资源化利用</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一般工业固体废物综合利用率★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99.49</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 xml:space="preserve"> ≥</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99.8</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99.9</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14</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15</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工业危险废物综合利用率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5</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15</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16</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农业废弃物资源化利用</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农业废弃物收储运体系覆盖率★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94.72</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95</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96</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16</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17</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秸秆综合利用率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72</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95</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17</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18</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畜禽粪污综合利用率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84.04</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95</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18</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19</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地膜回收率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80.00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95</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550"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19</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20</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建筑垃圾</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资源化利用</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建筑垃圾综合利用率★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95.37</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98</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99</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20</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21</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生活领域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资源化利用</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生活垃圾回收利用率★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45</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21</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24</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主要废弃产品回收利用量增长率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8.33</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22</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25</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spacing w:val="-2"/>
                <w:kern w:val="0"/>
                <w:sz w:val="24"/>
                <w:szCs w:val="24"/>
                <w:lang w:bidi="ar"/>
                <w14:textFill>
                  <w14:solidFill>
                    <w14:schemeClr w14:val="tx1"/>
                  </w14:solidFill>
                </w14:textFill>
              </w:rPr>
              <w:t>医疗卫生机构可回收物资源回收率★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67</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23</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26</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固体</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最终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处置</w:t>
            </w: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危险废物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安全处置</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工业危险废物安全处置量★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233.675</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全部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安全处置</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全部</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安全处置</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24</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27</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医疗废物收集处置体系覆盖率★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25</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29</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一般工业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固体废物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贮存处置</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一般工业固体废物贮存处置量★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3476.2</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≤3000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≤2500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51"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26</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30</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t>开展大宗工业固体废物堆存场所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t>（含尾矿库）综合整治的堆场数量占比</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10"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27</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31</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农业废弃物处置</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病死猪集中专业无害化处理率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28</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34</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生活领域固体废物处置</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生活垃圾填埋量★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137000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110000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≤100000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29</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35</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农村卫生厕所普及率★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33.56</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50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30</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37</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非正规垃圾填埋场整治完成率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595"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31</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38</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保障</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能力</w:t>
            </w: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制度体系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建设</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eastAsia" w:ascii="方正仿宋_GBK" w:hAnsi="方正仿宋_GBK" w:eastAsia="方正仿宋_GBK" w:cs="方正仿宋_GBK"/>
                <w:b/>
                <w:caps w:val="0"/>
                <w:smallCaps w:val="0"/>
                <w:color w:val="000000" w:themeColor="text1"/>
                <w:kern w:val="0"/>
                <w:sz w:val="24"/>
                <w:szCs w:val="24"/>
                <w:lang w:bidi="ar"/>
                <w14:textFill>
                  <w14:solidFill>
                    <w14:schemeClr w14:val="tx1"/>
                  </w14:solidFill>
                </w14:textFill>
              </w:rPr>
              <w:t>“无废城市”建</w:t>
            </w: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设地方性法规或</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政策性文件制定★</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基本建立</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进一步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完善</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基本完善</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32</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39</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方正仿宋_GBK" w:hAnsi="方正仿宋_GBK" w:eastAsia="方正仿宋_GBK" w:cs="方正仿宋_GBK"/>
                <w:caps w:val="0"/>
                <w:smallCaps w:val="0"/>
                <w:color w:val="000000" w:themeColor="text1"/>
                <w:kern w:val="0"/>
                <w:sz w:val="24"/>
                <w:szCs w:val="24"/>
                <w:lang w:bidi="ar"/>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设协调机制</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无</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基本建立</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进一步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完善</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33</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40</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方正仿宋_GBK" w:hAnsi="方正仿宋_GBK" w:eastAsia="方正仿宋_GBK" w:cs="方正仿宋_GBK"/>
                <w:b/>
                <w:caps w:val="0"/>
                <w:smallCaps w:val="0"/>
                <w:color w:val="000000" w:themeColor="text1"/>
                <w:kern w:val="0"/>
                <w:sz w:val="24"/>
                <w:szCs w:val="24"/>
                <w:lang w:bidi="ar"/>
                <w14:textFill>
                  <w14:solidFill>
                    <w14:schemeClr w14:val="tx1"/>
                  </w14:solidFill>
                </w14:textFill>
              </w:rPr>
              <w:t>“无废城市”建设</w:t>
            </w: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成效纳入政绩考核情况★</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无</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纳入考核</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较好</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72"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34</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41</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市场体系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建设</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固体废物回收利用处置投资占环境污染治理投资总额比重★</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15.63</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20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≥25</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748"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35</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42</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t>纳入企业环境信用评价范围的</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t>固体废物相关企业数量占比</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41.38</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60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≥70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36</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45</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固体废物回收利用处置骨干企业数量★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570"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37</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47</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技术体系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建设</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大宗工业固体废物减量化、</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资源化、无害化技术示范</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42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38</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48</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pacing w:val="4"/>
                <w:kern w:val="0"/>
                <w:sz w:val="24"/>
                <w:szCs w:val="24"/>
                <w:lang w:bidi="ar"/>
                <w14:textFill>
                  <w14:solidFill>
                    <w14:schemeClr w14:val="tx1"/>
                  </w14:solidFill>
                </w14:textFill>
              </w:rPr>
              <w:t>农业废弃物全量利用技术示范</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43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39</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49</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spacing w:val="-4"/>
                <w:kern w:val="0"/>
                <w:sz w:val="24"/>
                <w:szCs w:val="24"/>
                <w:lang w:bidi="ar"/>
                <w14:textFill>
                  <w14:solidFill>
                    <w14:schemeClr w14:val="tx1"/>
                  </w14:solidFill>
                </w14:textFill>
              </w:rPr>
              <w:t>生活垃圾减量化和资源化技术示范★</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24"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40</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50</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保障</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能力</w:t>
            </w:r>
          </w:p>
        </w:tc>
        <w:tc>
          <w:tcPr>
            <w:tcW w:w="506"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技术体系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建设</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危险废物全面安全管控技术示范★</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41</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52</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监管体系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建设</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固体废物监管能力建设</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基本建立</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进一步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提高</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基本完善</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14" w:hRule="atLeast"/>
          <w:jc w:val="center"/>
        </w:trPr>
        <w:tc>
          <w:tcPr>
            <w:tcW w:w="231"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42</w:t>
            </w:r>
          </w:p>
        </w:tc>
        <w:tc>
          <w:tcPr>
            <w:tcW w:w="364"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53</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危险废物规范化管理抽查合格率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产生单位：67</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产生单位：80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产生单位：90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14" w:hRule="atLeast"/>
          <w:jc w:val="center"/>
        </w:trPr>
        <w:tc>
          <w:tcPr>
            <w:tcW w:w="231"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364"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14:textFill>
                  <w14:solidFill>
                    <w14:schemeClr w14:val="tx1"/>
                  </w14:solidFill>
                </w14:textFill>
              </w:rPr>
            </w:pP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14:textFill>
                  <w14:solidFill>
                    <w14:schemeClr w14:val="tx1"/>
                  </w14:solidFill>
                </w14:textFill>
              </w:rPr>
            </w:pPr>
          </w:p>
        </w:tc>
        <w:tc>
          <w:tcPr>
            <w:tcW w:w="1615"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14:textFill>
                  <w14:solidFill>
                    <w14:schemeClr w14:val="tx1"/>
                  </w14:solidFill>
                </w14:textFill>
              </w:rPr>
            </w:pP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经营单位：100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经营单位：100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经营单位：100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23"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43</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54</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发现、处置、侦破固体废物环境污染</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刑事案件数量★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全部处置、</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侦破</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全部处置、侦破</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397"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44</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55</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固体废物相关环境污染事件数量</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64"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45</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56</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涉固体废物信访、投诉、举报案件办结率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50"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46</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57</w:t>
            </w:r>
          </w:p>
        </w:tc>
        <w:tc>
          <w:tcPr>
            <w:tcW w:w="31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群众</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获得感</w:t>
            </w:r>
          </w:p>
        </w:tc>
        <w:tc>
          <w:tcPr>
            <w:tcW w:w="506" w:type="pct"/>
            <w:vMerge w:val="restar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群众获得感</w:t>
            </w: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方正仿宋_GBK" w:hAnsi="方正仿宋_GBK" w:eastAsia="方正仿宋_GBK" w:cs="方正仿宋_GBK"/>
                <w:caps w:val="0"/>
                <w:smallCaps w:val="0"/>
                <w:color w:val="000000" w:themeColor="text1"/>
                <w:kern w:val="0"/>
                <w:sz w:val="24"/>
                <w:szCs w:val="24"/>
                <w:lang w:bidi="ar"/>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设宣传教育培训普及率</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50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50"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47</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58</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政府、企事业单位、公众对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eastAsia" w:ascii="方正仿宋_GBK" w:hAnsi="方正仿宋_GBK" w:eastAsia="方正仿宋_GBK" w:cs="方正仿宋_GBK"/>
                <w:caps w:val="0"/>
                <w:smallCaps w:val="0"/>
                <w:color w:val="000000" w:themeColor="text1"/>
                <w:kern w:val="0"/>
                <w:sz w:val="24"/>
                <w:szCs w:val="24"/>
                <w:lang w:bidi="ar"/>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设的参与程度</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80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w:t>
            </w: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0" w:type="dxa"/>
            <w:bottom w:w="0" w:type="dxa"/>
            <w:right w:w="0" w:type="dxa"/>
          </w:tblCellMar>
        </w:tblPrEx>
        <w:trPr>
          <w:cantSplit/>
          <w:trHeight w:val="665" w:hRule="atLeast"/>
          <w:jc w:val="center"/>
        </w:trPr>
        <w:tc>
          <w:tcPr>
            <w:tcW w:w="23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48</w:t>
            </w:r>
          </w:p>
        </w:tc>
        <w:tc>
          <w:tcPr>
            <w:tcW w:w="36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59</w:t>
            </w:r>
          </w:p>
        </w:tc>
        <w:tc>
          <w:tcPr>
            <w:tcW w:w="31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506" w:type="pct"/>
            <w:vMerge w:val="continue"/>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p>
        </w:tc>
        <w:tc>
          <w:tcPr>
            <w:tcW w:w="1615"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公众对</w:t>
            </w:r>
            <w:r>
              <w:rPr>
                <w:rFonts w:hint="eastAsia" w:ascii="方正仿宋_GBK" w:hAnsi="方正仿宋_GBK" w:eastAsia="方正仿宋_GBK" w:cs="方正仿宋_GBK"/>
                <w:b/>
                <w:caps w:val="0"/>
                <w:smallCaps w:val="0"/>
                <w:color w:val="000000" w:themeColor="text1"/>
                <w:kern w:val="0"/>
                <w:sz w:val="24"/>
                <w:szCs w:val="24"/>
                <w:lang w:bidi="ar"/>
                <w14:textFill>
                  <w14:solidFill>
                    <w14:schemeClr w14:val="tx1"/>
                  </w14:solidFill>
                </w14:textFill>
              </w:rPr>
              <w:t>“无废城市”建</w:t>
            </w:r>
            <w:r>
              <w:rPr>
                <w:rFonts w:hint="default" w:ascii="Times New Roman" w:hAnsi="Times New Roman" w:eastAsia="方正仿宋_GBK" w:cs="Times New Roman"/>
                <w:b/>
                <w:caps w:val="0"/>
                <w:smallCaps w:val="0"/>
                <w:color w:val="000000" w:themeColor="text1"/>
                <w:kern w:val="0"/>
                <w:sz w:val="24"/>
                <w:szCs w:val="24"/>
                <w:lang w:bidi="ar"/>
                <w14:textFill>
                  <w14:solidFill>
                    <w14:schemeClr w14:val="tx1"/>
                  </w14:solidFill>
                </w14:textFill>
              </w:rPr>
              <w:t>设成效的满意程度★</w:t>
            </w:r>
          </w:p>
        </w:tc>
        <w:tc>
          <w:tcPr>
            <w:tcW w:w="630"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90</w:t>
            </w:r>
          </w:p>
        </w:tc>
        <w:tc>
          <w:tcPr>
            <w:tcW w:w="544"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≧95</w:t>
            </w:r>
          </w:p>
        </w:tc>
        <w:tc>
          <w:tcPr>
            <w:tcW w:w="4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caps w:val="0"/>
                <w:smallCaps w:val="0"/>
                <w:color w:val="000000" w:themeColor="text1"/>
                <w:kern w:val="0"/>
                <w:sz w:val="24"/>
                <w:szCs w:val="24"/>
                <w:lang w:bidi="ar"/>
                <w14:textFill>
                  <w14:solidFill>
                    <w14:schemeClr w14:val="tx1"/>
                  </w14:solidFill>
                </w14:textFill>
              </w:rPr>
              <w:t>100</w:t>
            </w:r>
          </w:p>
        </w:tc>
        <w:tc>
          <w:tcPr>
            <w:tcW w:w="381" w:type="pct"/>
            <w:tcBorders>
              <w:tl2br w:val="nil"/>
              <w:tr2bl w:val="nil"/>
            </w:tcBorders>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4"/>
                <w14:textFill>
                  <w14:solidFill>
                    <w14:schemeClr w14:val="tx1"/>
                  </w14:solidFill>
                </w14:textFill>
              </w:rPr>
            </w:pPr>
            <w:r>
              <w:rPr>
                <w:rFonts w:hint="default" w:ascii="Times New Roman" w:hAnsi="Times New Roman" w:eastAsia="方正仿宋_GBK" w:cs="Times New Roman"/>
                <w:caps w:val="0"/>
                <w:smallCaps w:val="0"/>
                <w:color w:val="000000" w:themeColor="text1"/>
                <w:sz w:val="24"/>
                <w:szCs w:val="24"/>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Theme="minorEastAsia" w:hAnsiTheme="minorEastAsia" w:eastAsiaTheme="minorEastAsia" w:cstheme="minorEastAsia"/>
          <w:b/>
          <w:bCs/>
          <w:caps w:val="0"/>
          <w:smallCaps w:val="0"/>
          <w:color w:val="000000" w:themeColor="text1"/>
          <w:sz w:val="24"/>
          <w:szCs w:val="24"/>
          <w14:textFill>
            <w14:solidFill>
              <w14:schemeClr w14:val="tx1"/>
            </w14:solidFill>
          </w14:textFill>
        </w:rPr>
      </w:pPr>
      <w:r>
        <w:rPr>
          <w:rFonts w:hint="default" w:ascii="Times New Roman" w:hAnsi="Times New Roman" w:eastAsia="方正仿宋_GBK" w:cs="Times New Roman"/>
          <w:b w:val="0"/>
          <w:bCs w:val="0"/>
          <w:caps w:val="0"/>
          <w:smallCaps w:val="0"/>
          <w:color w:val="000000" w:themeColor="text1"/>
          <w:sz w:val="24"/>
          <w:szCs w:val="24"/>
          <w14:textFill>
            <w14:solidFill>
              <w14:schemeClr w14:val="tx1"/>
            </w14:solidFill>
          </w14:textFill>
        </w:rPr>
        <w:t>注：</w:t>
      </w:r>
      <w:r>
        <w:rPr>
          <w:rFonts w:hint="default" w:ascii="Times New Roman" w:hAnsi="Times New Roman" w:eastAsia="方正仿宋_GBK" w:cs="Times New Roman"/>
          <w:b w:val="0"/>
          <w:bCs w:val="0"/>
          <w:caps w:val="0"/>
          <w:smallCaps w:val="0"/>
          <w:color w:val="000000" w:themeColor="text1"/>
          <w:kern w:val="0"/>
          <w:sz w:val="24"/>
          <w:szCs w:val="24"/>
          <w:lang w:bidi="ar"/>
          <w14:textFill>
            <w14:solidFill>
              <w14:schemeClr w14:val="tx1"/>
            </w14:solidFill>
          </w14:textFill>
        </w:rPr>
        <w:t>★为</w:t>
      </w:r>
      <w:r>
        <w:rPr>
          <w:rFonts w:hint="default" w:ascii="Times New Roman" w:hAnsi="Times New Roman" w:eastAsia="方正仿宋_GBK" w:cs="Times New Roman"/>
          <w:b w:val="0"/>
          <w:bCs w:val="0"/>
          <w:caps w:val="0"/>
          <w:smallCaps w:val="0"/>
          <w:color w:val="000000" w:themeColor="text1"/>
          <w:sz w:val="24"/>
          <w:szCs w:val="24"/>
          <w14:textFill>
            <w14:solidFill>
              <w14:schemeClr w14:val="tx1"/>
            </w14:solidFill>
          </w14:textFill>
        </w:rPr>
        <w:t>必选指标，鉴于2020年现状值数据并不完整，本次部分以2019年统计指标作为现状值。</w:t>
      </w:r>
    </w:p>
    <w:p>
      <w:pPr>
        <w:widowControl w:val="0"/>
        <w:kinsoku/>
        <w:wordWrap/>
        <w:overflowPunct/>
        <w:topLinePunct w:val="0"/>
        <w:autoSpaceDE/>
        <w:autoSpaceDN/>
        <w:bidi w:val="0"/>
        <w:spacing w:line="360" w:lineRule="auto"/>
        <w:textAlignment w:val="auto"/>
        <w:rPr>
          <w:rFonts w:asciiTheme="minorEastAsia" w:hAnsiTheme="minorEastAsia" w:eastAsiaTheme="minorEastAsia" w:cstheme="minorEastAsia"/>
          <w:caps w:val="0"/>
          <w:smallCaps w:val="0"/>
          <w:color w:val="000000" w:themeColor="text1"/>
          <w:sz w:val="28"/>
          <w:szCs w:val="28"/>
          <w14:textFill>
            <w14:solidFill>
              <w14:schemeClr w14:val="tx1"/>
            </w14:solidFill>
          </w14:textFill>
        </w:rPr>
      </w:pPr>
    </w:p>
    <w:p>
      <w:pPr>
        <w:widowControl w:val="0"/>
        <w:kinsoku/>
        <w:wordWrap/>
        <w:overflowPunct/>
        <w:topLinePunct w:val="0"/>
        <w:autoSpaceDE/>
        <w:autoSpaceDN/>
        <w:bidi w:val="0"/>
        <w:spacing w:line="360" w:lineRule="auto"/>
        <w:textAlignment w:val="auto"/>
        <w:rPr>
          <w:rFonts w:asciiTheme="minorEastAsia" w:hAnsiTheme="minorEastAsia" w:eastAsiaTheme="minorEastAsia" w:cstheme="minorEastAsia"/>
          <w:caps w:val="0"/>
          <w:smallCaps w:val="0"/>
          <w:color w:val="000000" w:themeColor="text1"/>
          <w:sz w:val="28"/>
          <w:szCs w:val="28"/>
          <w14:textFill>
            <w14:solidFill>
              <w14:schemeClr w14:val="tx1"/>
            </w14:solidFill>
          </w14:textFill>
        </w:rPr>
        <w:sectPr>
          <w:pgSz w:w="16838" w:h="11906" w:orient="landscape"/>
          <w:pgMar w:top="1134" w:right="1134" w:bottom="1134" w:left="1134" w:header="851" w:footer="992" w:gutter="0"/>
          <w:pgNumType w:fmt="decimal"/>
          <w:cols w:space="0" w:num="1"/>
          <w:rtlGutter w:val="0"/>
          <w:docGrid w:type="linesAndChars" w:linePitch="312" w:charSpace="0"/>
        </w:sectPr>
      </w:pPr>
    </w:p>
    <w:p>
      <w:pPr>
        <w:pStyle w:val="2"/>
        <w:keepNext w:val="0"/>
        <w:keepLines/>
        <w:pageBreakBefore/>
        <w:widowControl w:val="0"/>
        <w:kinsoku/>
        <w:wordWrap/>
        <w:overflowPunct/>
        <w:topLinePunct w:val="0"/>
        <w:autoSpaceDE/>
        <w:autoSpaceDN/>
        <w:bidi w:val="0"/>
        <w:adjustRightInd/>
        <w:snapToGrid/>
        <w:spacing w:before="0" w:after="0" w:line="640" w:lineRule="exact"/>
        <w:jc w:val="center"/>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pPr>
      <w:bookmarkStart w:id="26" w:name="_Toc1888"/>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第四章</w:t>
      </w:r>
      <w:bookmarkEnd w:id="24"/>
      <w:r>
        <w:rPr>
          <w:rFonts w:hint="eastAsia" w:ascii="方正小标宋_GBK" w:hAnsi="方正小标宋_GBK" w:eastAsia="方正小标宋_GBK" w:cs="方正小标宋_GBK"/>
          <w:b w:val="0"/>
          <w:bCs/>
          <w:caps w:val="0"/>
          <w:smallCaps w:val="0"/>
          <w:color w:val="000000" w:themeColor="text1"/>
          <w:sz w:val="44"/>
          <w:szCs w:val="44"/>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一般工业固体废物规划重点任务</w:t>
      </w:r>
      <w:bookmarkEnd w:id="26"/>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27" w:name="_Toc28141"/>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一、加强一般工业固体废物源头减量化</w:t>
      </w:r>
      <w:bookmarkEnd w:id="27"/>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强化建设项目的环境准入管理</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严格执行环境影响评价审批制度。对照相关法律、法规和规范及《环境影响评价报告固废污染防治章节编写指南》要求，对产生工业固体废物的新建、扩建、改建项目，环境影响评价审批过程中严格审查项目的固体废物处理处置方案。对工业固体废物产生量大，去向不明，未达到经济效益、环境效益和社会效益相协调的项目，不予通过环评审批。</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推进企业清洁生产审核</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鼓励企业提升工艺技术，促进各类废物在企业内部循环使用和综合利用。对重大技术改革项目，通过税收减免、返还、配套经费优惠等措施在政策和资金上给予扶持，有效地从源头减少一般工业固体废物产生量。</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bookmarkStart w:id="28" w:name="_Toc20246"/>
      <w:bookmarkStart w:id="29" w:name="_Toc135213642"/>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二、提升一般工业固体废物资源化水平</w:t>
      </w:r>
      <w:bookmarkEnd w:id="28"/>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进一步推进水泥窑协同处置技术</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水泥窑协同处置技术既解决了水泥行业的转型升级，又提高了固体废物的综合利用率。我国</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从“十二五”时</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期开始推广水泥窑协同处置各类固体废物的技术和装备，相继出台了水泥窑协同处置固体废物环境保护技术规范、污染防治技术政策等管理制度。</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根据相关技术要求，鼓励满足单线设计熟料生产规模3000吨/日及以上新型干法水泥窑企业，开展水泥窑协同处置一般工业固体废物项目，提高一般工业固体废物综合利用率。</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推行一般工业固体废物资源综合利用评价机制</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根据《工业固体废物资源综合利用评价管理暂行办法》和《国家工业固体废物资源综合利用产品目录》，引导企业积极主动开展一般工业固体废物资源综合利用评价，促进一般工业固体废物资源综合利用产业规范化、绿色化、规模化、高技术化发展。实行统一的国家工业固体废物资源综合利用产品目录，引导企业不断提高资源综合利用技术水平，提升综合利用产品质量，促进绿色生产和绿色消费。</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探索建设大宗工业固废综合利用基地</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以集聚化、产业化、市场化、生态化为导向，以提高大宗工业固体废物综合利用率为目标，探索建设大宗工业固体废物综合利用基地，建立技术先进、清洁安全、吸纳就业能力强的现代化大宗工业固体废物综合利用产业新模式，形成多途径、高附加值的综合利用发展新格局。</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30" w:name="_Toc16221"/>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三、推动一般工业固体废物处置能力合理配置</w:t>
      </w:r>
      <w:bookmarkEnd w:id="30"/>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依据我市一般工业固体废物预测产生量及布局情况，近期规划在梅河口市李炉乡连山村建设1座生活垃圾焚烧处置设施，近期处置规模600吨/天，远期处置规模1200吨/天，形成与我市生活垃圾处置量相匹配的处置能力，同时实现就近处理的布局。</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另外，在梅河口市建设双星集团伊克斯达绿色生态循环利用智能化工业4.0项目，该项目投资主体为双星集团有限责任公司，项目总投资5亿元，占地面积200亩，建筑面积7万平方米。项目投产后，年加工分解废旧橡胶10万吨，主要产品为裂解油、商业炭黑、不凝气清洁燃料、钢丝。</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31" w:name="_Toc31917"/>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四、建立一般工业固体废物的监管机制</w:t>
      </w:r>
      <w:bookmarkEnd w:id="31"/>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严格执行环境管理制度</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严格执行环境管理制度，对照《一般工业固体废物贮存和填埋污染控制标准》（GB 18599-2020）相关要求，建设符合规范且满足需求的贮存场所，实行安全分类存放。</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近期规划执行一般工业固体废物转移记录制度，产废单位与具有相应利用处置能力的单位签订合同，进行委托处理，执行转移交接记录制度，明确转移量、转移去向等。</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明确一般工业固体废物综合利用单位的管理要求</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近期规划开展对一般工业固体废物综合利用单位的摸底调查，建立一般工业固体废物综合利用单位信息名录，明确环境管理要求，纳入日常监督管理。</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完善大宗一般工业固体废物信息化监管手段</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远期规划加强一般工业固体废物规范化全过程监管。建立完善的大宗一般工业固体废物综合信息平台，对大宗一般工业固体废物来源、流向、二次污染物处理等情况进行联网监控，实现全过程实时监控和电子联单管理，充分共享和对接全市现有的数据和系统，采用物联网大数据分析等智能化、信息化手段加强监管。</w:t>
      </w:r>
    </w:p>
    <w:bookmarkEnd w:id="29"/>
    <w:p>
      <w:pPr>
        <w:pStyle w:val="2"/>
        <w:keepNext w:val="0"/>
        <w:keepLines/>
        <w:pageBreakBefore/>
        <w:widowControl w:val="0"/>
        <w:kinsoku/>
        <w:wordWrap/>
        <w:overflowPunct/>
        <w:topLinePunct w:val="0"/>
        <w:autoSpaceDE/>
        <w:autoSpaceDN/>
        <w:bidi w:val="0"/>
        <w:adjustRightInd/>
        <w:snapToGrid/>
        <w:spacing w:before="0" w:after="0" w:line="640" w:lineRule="exact"/>
        <w:jc w:val="center"/>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pPr>
      <w:bookmarkStart w:id="32" w:name="_Toc32254"/>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第五章</w:t>
      </w:r>
      <w:r>
        <w:rPr>
          <w:rFonts w:hint="eastAsia" w:ascii="方正小标宋_GBK" w:hAnsi="方正小标宋_GBK" w:eastAsia="方正小标宋_GBK" w:cs="方正小标宋_GBK"/>
          <w:b w:val="0"/>
          <w:bCs/>
          <w:caps w:val="0"/>
          <w:smallCaps w:val="0"/>
          <w:color w:val="000000" w:themeColor="text1"/>
          <w:sz w:val="44"/>
          <w:szCs w:val="44"/>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危险废物规划重点任务</w:t>
      </w:r>
      <w:bookmarkEnd w:id="32"/>
    </w:p>
    <w:p>
      <w:pPr>
        <w:pStyle w:val="50"/>
        <w:keepNext/>
        <w:keepLines/>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33" w:name="_Toc511655234"/>
      <w:bookmarkStart w:id="34" w:name="_Toc25403"/>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w:t>
      </w:r>
      <w:bookmarkEnd w:id="33"/>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加强危险废物源头减量化</w:t>
      </w:r>
      <w:bookmarkEnd w:id="34"/>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b w:val="0"/>
          <w:bCs/>
          <w:caps w:val="0"/>
          <w:smallCaps w:val="0"/>
          <w:color w:val="000000" w:themeColor="text1"/>
          <w:sz w:val="32"/>
          <w:szCs w:val="32"/>
          <w14:textFill>
            <w14:solidFill>
              <w14:schemeClr w14:val="tx1"/>
            </w14:solidFill>
          </w14:textFill>
        </w:rPr>
        <w:t>推进工艺技术提升，减少源头污染物产生量</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加快推进企业清洁生产审核，推进开发应用有利于危险废物减量化和无害化的工艺技术。通过改进工艺、提高原料利用率、加强生产环节的环境质量管理，促进各类废物在企业内部循环使用和综合利用。</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待拟建焚烧设施投产后，按国家规定，在物料分类及混配技术、回转窑运行效率、急冷效果及烟气脱酸等方面不断改进工艺，以减少污染物排放。</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楷体_GBK" w:cs="Times New Roman"/>
          <w:b/>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严格项目环境准入，落实源头污染防治要求</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强化建设项目的环境准入管理，对照《吉林省危险废物污染环境防治条例》、吉林省生态环境厅《进一步落实提升危险废物环境监管能力、利用处置能力和环境风险防范能力的实施意见》</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吉环固体字〔2020〕12号</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环境影响评价报告固废污染防治章节编写指南》、《危险废物贮存污染控制标准》（GB18597-2001）及2013年修改单等相关法律、法规和规范要求，对所有产生危险废物的新、改、扩建项目实行严格预审，对项目产生危险废物的种类、数量、处置去向进行可行性及合理性分析，并提出危险废物管理要求。对危险废物处置方案不符合环保要求的建设项目，不予通过环评审批。建设项目配套的危险废物贮存、处置设施落实不到位的，不予通过环境保护竣工验收。</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bookmarkStart w:id="35" w:name="_Toc31016"/>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二、提升危险废物资源化水平</w:t>
      </w:r>
      <w:bookmarkEnd w:id="35"/>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鼓励企业采用能够减少危险废物产生的新工艺和新装备，支持采用符合国家技术规范要求的危险废物利用处置新技术。近期规划重点推进废矿物油再生技术，鼓励企业采用先进的工艺、技术、设备，提高危险废物综合利用水平。探索开展危险废</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物“点对点”定向</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利用的危险废物经营许可豁免管理试点。</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对于拟建综合性危险废物处理企业，扶持其开发新技术，进一步提升现有危险废物处理企业废物再生、利用能力，扩大危险废物利用规模和利用范围。</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提倡处理企业以资源化为主，不断引进、消化和吸收先进处理工艺，产业化、规范化处理处置，优先鼓励综合利用型企业的发展。</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bookmarkStart w:id="36" w:name="_Toc8931"/>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三、推进工业园区循环化改造，构建资源高效利用体系</w:t>
      </w:r>
      <w:bookmarkEnd w:id="36"/>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推进工业园区循环化项目改造，促进固体废物源头减量和梯级利用。推动强制性清洁生产审核，源头减少有毒有害原辅料使用。大力推行绿色供应链管理，鼓励开展固体废物源头减量化及资源化、无害化技术升级改造，形成园区固体废物循环利用体系。优化产业布局，构建固体废物资源化利用产业链，提高固体废物综合利用水平，推动再生资源利用行业规模化、高质量发展。</w:t>
      </w:r>
      <w:bookmarkStart w:id="37" w:name="_Toc28121"/>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四、合理配置危险废物处理处置能力</w:t>
      </w:r>
      <w:bookmarkEnd w:id="37"/>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依据我市危险废物预测产生量及产业发展布局，近期规划在梅河口市康大营镇建设1座集焚烧、物化处理、固化填埋、综合利用等方式为一体的工业危险废物处置设施，工程主要建设 1 套处理能力为 20000t/a 焚烧系统、1套处理能力为 29000t/a 的废液物化处理系统及填埋库容为 115.8万m</w:t>
      </w:r>
      <w:r>
        <w:rPr>
          <w:rFonts w:hint="default" w:ascii="Times New Roman" w:hAnsi="Times New Roman" w:eastAsia="方正仿宋_GBK" w:cs="Times New Roman"/>
          <w:caps w:val="0"/>
          <w:smallCaps w:val="0"/>
          <w:color w:val="000000" w:themeColor="text1"/>
          <w:sz w:val="32"/>
          <w:szCs w:val="32"/>
          <w:vertAlign w:val="superscript"/>
          <w14:textFill>
            <w14:solidFill>
              <w14:schemeClr w14:val="tx1"/>
            </w14:solidFill>
          </w14:textFill>
        </w:rPr>
        <w:t>3</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的填埋区（年填埋能力76000t/a），1 套处理能力 20000t/a 的废有机溶剂蒸馏回收再利用系统，1 套处理能力 5000t（21万只）/a 的废包装桶回收系统；同时配套建设 1 套处理能力为 42000t/a 的固化系统。</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38" w:name="_Toc21617"/>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五、延伸和完善医疗废物收集处置体系</w:t>
      </w:r>
      <w:bookmarkEnd w:id="38"/>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随着全国医疗废物污染防治工作的发展思路的变化，结合其他省市的工作经验，近期规划推进农村乡镇医疗废物收集体系建设工作，按照</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“就近集中、转运收集”的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模式，设立农村医疗废物中转站，实现农村乡镇医疗废物集中收集，医疗废物收集体系覆盖全市范围内各级各类医疗卫生机构，实现农村地区医疗废物纳入集中无害化处置。</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目前我市医疗废物产生量约为1吨/天，现我市建有医疗废物处置中心1座（梅河口市佰利洁垃圾处理有限公司，2019年1月建成），采用高温蒸煮方式处置医疗废物。目前医疗废物收运能力5吨/日，集中处置能力5吨/日。近期内现有医疗废物处置能力可满足处置要求，但我市医疗废物处置中心只具备感染性和损伤性废物的处置能力，没有病理性、药物性和化学性废物的处置能力。近期鼓励帮助企业筹资建设病理性、药物性和化学性废物处置设施，使其具备全部门类医疗废物处置能力。</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39" w:name="_Toc10859"/>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六、提升危险废物环境监管能力</w:t>
      </w:r>
      <w:bookmarkEnd w:id="39"/>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（一）</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落实主体责任，加强危险废物管理能力建设</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落实企业危险废物管理的主体责任，近期规划探索建立危险废物产生单位生产者责任延伸制度，明确企业在危险废物产生、收集、运输、贮存、利用、处置各环节承担的责任。</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积极推动危险废物处置利用设施向公众开放。近期根据环境监察执法体系垂直管理的实施进程，进一步规划建立完善的危险废物环境管理体系。强化危险废物管理技术支持机构的作用，在产废核算、环境监测、危险废物鉴别等方面加强技术支撑能力建设。加强危险废物利用处置企业全市统一监管机制，积极探索委托开展第三方监督性环境管理和监测。</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楷体_GBK" w:cs="Times New Roman"/>
          <w:b/>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强化危险废物规范化管理</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shd w:val="clear" w:color="auto" w:fill="FFFFFF"/>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近期规划结合第二次全国污染源普查、环境统计工作分别健全危险废物产生单位清单和拥有危险废物自行利用处置设施的单位清单，在此基础上，结合危险废物经营单位清单，建立危险废物重点监管单位清单。上述清单企业纳入统一管理。</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为加大危险废物规范化考核力度，近期规划将危险废物产生和经营单位的规范化考核工作融入日常环境监管工作中，强化考核结果应用，对抽查验收不达标企业以及违法违规情节严重的企业，记入企业环境信用档案，实行公开曝光，开展联合惩戒。加大重点危险废物产生企业的考核力度，实现对全市重点产废企业的全覆盖。将危险废物规范化环境管理情况纳入对地方环境保护绩效考核的指标体系中，督促地方政府落实监管责任。</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楷体_GBK" w:cs="Times New Roman"/>
          <w:b/>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加快提升危险废物监管信息化水平</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规划开</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展“</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互联网+</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监管系统建设及应用，通过信息化手段实现危废管理计划、管理台账、年度申报登记及转移运输等业务</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的“多流合一”</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。推进危险废物可视化监管试点，对主要危险废物经营单位和重点产废单位的出入口、贮存库、处置（产生）设施等重要点位实行实时可视化监控。</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楷体_GBK" w:cs="Times New Roman"/>
          <w:b/>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（四）</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积极推行危险废物排污许可制度</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《中华人民共和国固体废物污染环境防治法》提出了建立固体废物排污许可制度，实</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施“一证式”管</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理，促进落实产生者主体责任。近期规划结合实施固定污染源排污许可制度，依法将危险废物纳入排污许可管理。同时，将危险废物日常环境监管纳入生态环境执法</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“双随机一公开”内</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容。</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楷体_GBK" w:cs="Times New Roman"/>
          <w:b/>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（五）</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开展区域性危险废物收集、运输平台建设</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分区建立危险废物收运机制。按照危险废物源头规范化管理要求，在工业集中区开展区域性危险废物收集、运输平台试点工作，做到区域危险废物统一收集、包装、标识、运输、管理，鼓励有资质单位为产生企业提供危险废物分类收集、贮存、预处理专业化服务，促进危险废物在本区域内进行资源化、减量化和无害化处置。</w:t>
      </w:r>
    </w:p>
    <w:p>
      <w:pPr>
        <w:pageBreakBefore w:val="0"/>
        <w:widowControl w:val="0"/>
        <w:shd w:val="clear" w:color="auto" w:fill="FFFFFF"/>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楷体_GBK" w:cs="Times New Roman"/>
          <w:b/>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（六）</w:t>
      </w:r>
      <w:r>
        <w:rPr>
          <w:rFonts w:hint="default" w:ascii="方正楷体_GBK" w:hAnsi="方正楷体_GBK" w:eastAsia="方正楷体_GBK" w:cs="方正楷体_GBK"/>
          <w:b w:val="0"/>
          <w:bCs/>
          <w:caps w:val="0"/>
          <w:smallCaps w:val="0"/>
          <w:color w:val="000000" w:themeColor="text1"/>
          <w:sz w:val="32"/>
          <w:szCs w:val="32"/>
          <w14:textFill>
            <w14:solidFill>
              <w14:schemeClr w14:val="tx1"/>
            </w14:solidFill>
          </w14:textFill>
        </w:rPr>
        <w:t>加强监管机构和人才队伍建设</w:t>
      </w:r>
      <w:r>
        <w:rPr>
          <w:rFonts w:hint="eastAsia" w:ascii="方正楷体_GBK" w:hAnsi="方正楷体_GBK" w:eastAsia="方正楷体_GBK" w:cs="方正楷体_GBK"/>
          <w:b w:val="0"/>
          <w:bCs/>
          <w:caps w:val="0"/>
          <w:smallCaps w:val="0"/>
          <w:color w:val="000000" w:themeColor="text1"/>
          <w:sz w:val="32"/>
          <w:szCs w:val="32"/>
          <w:lang w:eastAsia="zh-CN"/>
          <w14:textFill>
            <w14:solidFill>
              <w14:schemeClr w14:val="tx1"/>
            </w14:solidFill>
          </w14:textFill>
        </w:rPr>
        <w:t>。</w:t>
      </w:r>
    </w:p>
    <w:p>
      <w:pPr>
        <w:pageBreakBefore w:val="0"/>
        <w:widowControl w:val="0"/>
        <w:shd w:val="clear" w:color="auto" w:fill="FFFFFF"/>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强化危险废物环境管理培训，近期规划鼓励依托条件较好的危险废物产生单位和危险废物经营单位建设危险废物培训实习基地，加强生态环境保护督察、环境影响评价、排污许可、环境执法和危险废物管理机构人员的技术培训与交流。加强危险废物专业机构及人才队伍建设，组建危险废物环境管理专家团队，强化重点难点问题的技术支撑。</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bookmarkStart w:id="40" w:name="_Toc10923"/>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七、完善危险废物环境应急及风险防控能力</w:t>
      </w:r>
      <w:bookmarkEnd w:id="40"/>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随着产业发展，危险废物产生企业和处理处置企业的不断增加。近期规划在全市范围，完善危险废物污染事故应急处置专业化队伍和应急处置装备，提高危险废物污染控制应急处理技术和装备水平，配置专业化的危险废物环境监测装备，重点配置快速现场检测分析危险废物类别和性质的监测仪器。建立危险废物风险排查制度，每年定期对重点防控行业及企业开展风险隐患排查，督促企业完善应急预案，建立应急响应专业队伍，定期开展企业内专项应急演练，提升应急事件应对能力。</w:t>
      </w:r>
    </w:p>
    <w:p>
      <w:pPr>
        <w:pStyle w:val="2"/>
        <w:keepNext w:val="0"/>
        <w:keepLines/>
        <w:pageBreakBefore/>
        <w:widowControl w:val="0"/>
        <w:kinsoku/>
        <w:wordWrap/>
        <w:overflowPunct/>
        <w:topLinePunct w:val="0"/>
        <w:autoSpaceDE/>
        <w:autoSpaceDN/>
        <w:bidi w:val="0"/>
        <w:adjustRightInd/>
        <w:snapToGrid/>
        <w:spacing w:before="0" w:after="0" w:line="600" w:lineRule="exact"/>
        <w:jc w:val="center"/>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pPr>
      <w:bookmarkStart w:id="41" w:name="_Toc1300"/>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第六章</w:t>
      </w:r>
      <w:r>
        <w:rPr>
          <w:rFonts w:hint="eastAsia" w:ascii="方正小标宋_GBK" w:hAnsi="方正小标宋_GBK" w:eastAsia="方正小标宋_GBK" w:cs="方正小标宋_GBK"/>
          <w:b w:val="0"/>
          <w:bCs/>
          <w:caps w:val="0"/>
          <w:smallCaps w:val="0"/>
          <w:color w:val="000000" w:themeColor="text1"/>
          <w:sz w:val="44"/>
          <w:szCs w:val="44"/>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其他固废规划重点任务</w:t>
      </w:r>
      <w:bookmarkEnd w:id="41"/>
    </w:p>
    <w:p>
      <w:pPr>
        <w:pStyle w:val="50"/>
        <w:keepNext/>
        <w:keepLines/>
        <w:pageBreakBefore w:val="0"/>
        <w:widowControl w:val="0"/>
        <w:kinsoku/>
        <w:wordWrap/>
        <w:overflowPunct/>
        <w:topLinePunct w:val="0"/>
        <w:autoSpaceDE/>
        <w:autoSpaceDN/>
        <w:bidi w:val="0"/>
        <w:adjustRightInd/>
        <w:snapToGrid/>
        <w:spacing w:before="0" w:after="0" w:line="520"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42" w:name="_Toc32588"/>
    </w:p>
    <w:p>
      <w:pPr>
        <w:pStyle w:val="50"/>
        <w:pageBreakBefore w:val="0"/>
        <w:widowControl w:val="0"/>
        <w:kinsoku/>
        <w:wordWrap/>
        <w:overflowPunct/>
        <w:topLinePunct w:val="0"/>
        <w:autoSpaceDE/>
        <w:autoSpaceDN/>
        <w:bidi w:val="0"/>
        <w:spacing w:before="0" w:after="0" w:line="582"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一、电子废弃物污染防治重点任务</w:t>
      </w:r>
      <w:bookmarkEnd w:id="42"/>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中华人民共和国固体废物污染环境防治法》提出国家建立电器电子等产品的生产者责任延伸制度，鼓励生产者开展生态设计、建立回收体系，促进资源回收利用。拆解、利用、处置废弃电器电子产品和废弃机动车船，应当遵守有关法律、法规的规定，采取措施，防止污染环境。</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近期规划积极推动电子废物收集、处置设施的建设，制定并实施电子废物处理计划，通过建立电子废物拆解处理系统解决区域电子废物的污染隐患。</w:t>
      </w:r>
    </w:p>
    <w:p>
      <w:pPr>
        <w:pStyle w:val="50"/>
        <w:pageBreakBefore w:val="0"/>
        <w:widowControl w:val="0"/>
        <w:kinsoku/>
        <w:wordWrap/>
        <w:overflowPunct/>
        <w:topLinePunct w:val="0"/>
        <w:autoSpaceDE/>
        <w:autoSpaceDN/>
        <w:bidi w:val="0"/>
        <w:spacing w:before="0" w:after="0" w:line="582"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43" w:name="_Toc25470"/>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二、进口废物污染防治重点任务</w:t>
      </w:r>
      <w:bookmarkEnd w:id="43"/>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随着国务院</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办公厅</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禁止洋垃圾入境推进固体废物进口管理制度改革实施方案》的颁布实施，洋垃圾入境得到全面禁止。近期规划逐步停止进口国内资源可以替代的固体废物的前期审核，逐步有序减少我市固体废物进口种类和数量。随着国家进口废物管理名录的变化，逐步淘汰进口废物加工利用企业，积极做好产业转型期的疏导服务。</w:t>
      </w:r>
    </w:p>
    <w:p>
      <w:pPr>
        <w:pStyle w:val="50"/>
        <w:pageBreakBefore w:val="0"/>
        <w:widowControl w:val="0"/>
        <w:kinsoku/>
        <w:wordWrap/>
        <w:overflowPunct/>
        <w:topLinePunct w:val="0"/>
        <w:autoSpaceDE/>
        <w:autoSpaceDN/>
        <w:bidi w:val="0"/>
        <w:spacing w:before="0" w:after="0" w:line="582"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44" w:name="_Toc12489"/>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三、生活垃圾污染防治重点任务</w:t>
      </w:r>
      <w:bookmarkEnd w:id="44"/>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梅河口市生活垃圾的管理由梅河口市</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城市管理行政</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执法局负责，目前相关部门已编制《梅河口市农村生活垃圾一体化综合整治实施方案》及《梅河口市垃圾分类处置方案》。</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根据《梅河口市垃圾分类处置方案》，坚持焚烧为主、填埋为辅。加快推进以焚烧为主的生活垃圾处理设施建设，因地制宜对现有生活垃圾填埋场进行改造，作为城区生活垃圾应急处置场和焚烧处置的必要补充。规划将采</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用“原生垃圾全量焚烧”的生活垃圾处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理技术路线，逐步实现原生垃圾零填埋，减少最终填埋处置量；完善</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“压缩转运站一次转运”为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主、</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“压缩车直运”为辅补</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充应急的全程密闭化高水平垃圾收运系统。通过加强宣传教育，建立垃圾分类和减量化的有效机制，逐步提高生活垃圾源头资源化利用量，减少生活垃圾清运量。到2025年，梅河口市城乡生活垃圾清运率</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保持</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100%；集中清运的城市生活垃圾无害化处理率保持100%；生活垃圾焚烧处理能力占无害化处理总能力的80%；生活垃圾回收利用率达到45%以上，资源利用率达90%以上。</w:t>
      </w:r>
    </w:p>
    <w:p>
      <w:pPr>
        <w:pStyle w:val="50"/>
        <w:pageBreakBefore w:val="0"/>
        <w:widowControl w:val="0"/>
        <w:kinsoku/>
        <w:wordWrap/>
        <w:overflowPunct/>
        <w:topLinePunct w:val="0"/>
        <w:autoSpaceDE/>
        <w:autoSpaceDN/>
        <w:bidi w:val="0"/>
        <w:spacing w:before="0" w:after="0" w:line="582"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45" w:name="_Toc17392"/>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四、农业废弃物污染防治重点任务</w:t>
      </w:r>
      <w:bookmarkEnd w:id="45"/>
    </w:p>
    <w:p>
      <w:pPr>
        <w:pageBreakBefore w:val="0"/>
        <w:widowControl w:val="0"/>
        <w:kinsoku/>
        <w:wordWrap/>
        <w:overflowPunct/>
        <w:topLinePunct w:val="0"/>
        <w:autoSpaceDE/>
        <w:autoSpaceDN/>
        <w:bidi w:val="0"/>
        <w:spacing w:line="582" w:lineRule="exact"/>
        <w:ind w:firstLine="640" w:firstLineChars="200"/>
        <w:jc w:val="both"/>
        <w:textAlignment w:val="auto"/>
        <w:rPr>
          <w:rFonts w:hint="eastAsia" w:ascii="方正楷体_GBK" w:hAnsi="方正楷体_GBK" w:eastAsia="方正楷体_GBK" w:cs="方正楷体_GBK"/>
          <w:b/>
          <w:bCs/>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（一）推进</w:t>
      </w:r>
      <w:r>
        <w:rPr>
          <w:rFonts w:hint="eastAsia" w:ascii="方正楷体_GBK" w:hAnsi="方正楷体_GBK" w:eastAsia="方正楷体_GBK" w:cs="方正楷体_GBK"/>
          <w:caps w:val="0"/>
          <w:smallCaps w:val="0"/>
          <w:color w:val="000000" w:themeColor="text1"/>
          <w:sz w:val="32"/>
          <w:szCs w:val="32"/>
          <w14:textFill>
            <w14:solidFill>
              <w14:schemeClr w14:val="tx1"/>
            </w14:solidFill>
          </w14:textFill>
        </w:rPr>
        <w:t>农业生产废弃物资源化利用</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一是大力推进畜禽标准化规模养殖场建设，广泛开展养殖粪污资源化利用，推进有机粪肥还田；围绕大中型养殖场和养殖密集的乡镇、村屯，发展生物质有机肥、生物质燃料块、食用菌转化利用等粪污资源化利用设施建设项目。二是积极摸索堆肥的处理方式，建设适应东北地区气候条件的垃圾发酵池或建设太阳能辅助的堆肥房，可采取一村一建或多村合建的方式，垃圾堆肥后，由专业公司、农业合作社用于制作邮寄肥或直接还田增肥。三是大力推进秸秆综合利用规模化、产业化，建立健全秸秆收储运体系，推进秸秆还田和饲料化利用，实施秸秆发电和秸秆固化成型燃料供气、供热等项目。</w:t>
      </w:r>
    </w:p>
    <w:p>
      <w:pPr>
        <w:pageBreakBefore w:val="0"/>
        <w:widowControl w:val="0"/>
        <w:kinsoku/>
        <w:wordWrap/>
        <w:overflowPunct/>
        <w:topLinePunct w:val="0"/>
        <w:autoSpaceDE/>
        <w:autoSpaceDN/>
        <w:bidi w:val="0"/>
        <w:adjustRightInd w:val="0"/>
        <w:snapToGrid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规范处置农村工业固体废物</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val="0"/>
        <w:snapToGrid w:val="0"/>
        <w:spacing w:line="582" w:lineRule="exact"/>
        <w:ind w:firstLine="640" w:firstLineChars="200"/>
        <w:jc w:val="both"/>
        <w:textAlignment w:val="auto"/>
        <w:rPr>
          <w:rFonts w:hint="default" w:ascii="Times New Roman" w:hAnsi="Times New Roman" w:eastAsia="方正仿宋_GBK" w:cs="Times New Roman"/>
          <w:b/>
          <w:bCs/>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按照固体废物污染环境防治法的有关规定，加强农村地区工业固体废物产生单位的监督管理，督促相关工业企业严格按照国家环境保护标准贮存、转移、利用、处置工业固体废物。对工企户、学校、商业户等单位实行有偿服务，由环卫保洁公司参照国家标准收取相应的服务费用。落实危险废物无害化管理措施，坚决查处在农村地区非法倾倒、堆置工业固体废物的行为，严厉打击危险废物污染环境的违法行为。推动农村地区工业固体废物的综合利用，因地制宜发展能源化、建材化等综合利用技术。依托现有危险废物处理设施集中处置农村地区工业危险废物。</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以绿色经济推动有机肥生产使用与土壤质量提升</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大力推广畜禽粪便堆肥、蚯蚓养殖生产有机肥技术，鼓励发展水产品废弃物制水溶性肥料、生物肥料利用技术，促进畜禽粪便和水产加工废弃物高值化利用。鼓励支持在种植、养殖密集区域建立有机肥生产中心、配肥中心和畜禽粪便收集体系，统筹秸秆、畜禽粪便、蔬菜等多元有机废弃物协同处理生产有机肥，推动粪污集中处置和资源综合利用。支持专业化、社会化、环农一体化服务组织发展，建</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立“有机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废物循环养地利用</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培育健康土壤</w:t>
      </w:r>
      <w:r>
        <w:rPr>
          <w:rFonts w:hint="default"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生产优质农产</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品”的</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绿色生态循环发展模式。加强农业面源污染防治，加大有机肥利用推广力度，推广精准测土配肥，持续推动化肥减量使用，探索区域养分管理、养地还田，实施土壤质量提升工程，开展蔬菜、稻米等特色产业绿色生态有机种植示范，打造绿色有机农产品示范基地、农业可持续发展试验示范区。加快农产品标准化及可追溯体系建设，积极培育绿色品牌，推</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进“三品一标”农产品</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认证。</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（四）</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建立病死畜禽无害化收集处理体系</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制定梅河口市病死畜禽无害化处理管理办法，加快推进病死畜禽无害化集中处理项目及收集体系建设，建立全市统一收集处理的病死畜禽无害化处理体系。</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（五）</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推动废旧农膜源头减量化</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1.</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贯彻执行国家强制性地膜标准，推进农膜使用源头减量。禁止生产和使用厚度低于0.01mm 的地膜，逐步淘汰厚度不符合国家标准的超薄地膜，全面推广应用0.01mm 以上加厚地膜应用。调整种植业生产方式与配套关键技术，推广一膜多用、行间覆盖等技术。积极引进试验、示范推广加厚地膜和全生物降解膜。</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制定废旧农膜回收管理办法，强化农用地膜使用、回收环节监管。积极构建由政府、农户、企业、社会共同参与的废旧农膜回收体系，建立使用者收集、分类处理、政府扶持与市场化运作相结合的长效机制。</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完善废旧农膜回收体系。依托农村生活垃圾收集点布局废旧农膜回收网点，在蔬菜种植等农膜集中使用区域开展废旧农膜回收示范。引导种植大户、农民合作社、龙头企业等新型经营主体开展地膜回收。推进生产者责任延伸制，充分运用供销社网络体系建立废旧农膜逆向收集体系，建立健全废旧农膜回收储运和综合利用网络。</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（六）</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推进农药包装废弃物回收处置，强化环境风险防控</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spacing w:line="582" w:lineRule="exact"/>
        <w:ind w:firstLine="640" w:firstLineChars="200"/>
        <w:jc w:val="both"/>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1.</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建立农药包装废弃物回收管理体系</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制定梅河口市农药包装废弃物回收处理实施细则，明确农药生产者、销售者和使用者农药包装废弃物回收主体责任，健全完善回收处理激励引导机制。建立农药包装废弃物回收处置体系，探索构</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建“市场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主体回收、专业机构处置、公共财政扶</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持”的回</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收和集中处置机制，以农药经营者为主体，开展押金制、有偿回收等方式回收农药包装废弃物。建立农药包装废弃物定期转运和集中处置制度。强化宣传农药包装废弃物危害，提升使用者对农药包装废弃物回收的认知水平。</w:t>
      </w:r>
    </w:p>
    <w:p>
      <w:pPr>
        <w:pageBreakBefore w:val="0"/>
        <w:widowControl w:val="0"/>
        <w:kinsoku/>
        <w:wordWrap/>
        <w:overflowPunct/>
        <w:topLinePunct w:val="0"/>
        <w:autoSpaceDE/>
        <w:autoSpaceDN/>
        <w:bidi w:val="0"/>
        <w:spacing w:line="582" w:lineRule="exact"/>
        <w:ind w:firstLine="640" w:firstLineChars="200"/>
        <w:jc w:val="both"/>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aps w:val="0"/>
          <w:smallCaps w:val="0"/>
          <w:color w:val="000000" w:themeColor="text1"/>
          <w:sz w:val="32"/>
          <w:szCs w:val="32"/>
          <w:lang w:val="en-US" w:eastAsia="zh-CN"/>
          <w14:textFill>
            <w14:solidFill>
              <w14:schemeClr w14:val="tx1"/>
            </w14:solidFill>
          </w14:textFill>
        </w:rPr>
        <w:t>2.</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扎实推进农药减量增效源头减少包装废弃物产生</w:t>
      </w:r>
      <w:r>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spacing w:line="582"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大力推广农药减量增效技术措施，有效减少农药使用量，推进农药使用量零增长，源头减少农药包装废弃物产生。加强农作物重大病虫害监测预警，科学指导病虫害防治。持续推进农作物病虫害专业化统防统治与绿色防控融合绿色防控试点，大力推广理化诱控、生态调控、生物防治等病虫害防治技术，加大现代高效植保机械和生物农药、高效低残留农药安全科学使用推广应用力度，加强农药使用管理和技术指导，推进农药减量控害提质增效。</w:t>
      </w:r>
    </w:p>
    <w:p>
      <w:pPr>
        <w:pStyle w:val="2"/>
        <w:keepNext w:val="0"/>
        <w:keepLines/>
        <w:pageBreakBefore/>
        <w:widowControl w:val="0"/>
        <w:kinsoku/>
        <w:wordWrap/>
        <w:overflowPunct/>
        <w:topLinePunct w:val="0"/>
        <w:autoSpaceDE/>
        <w:autoSpaceDN/>
        <w:bidi w:val="0"/>
        <w:adjustRightInd/>
        <w:snapToGrid/>
        <w:spacing w:before="0" w:after="0" w:line="1000" w:lineRule="exact"/>
        <w:jc w:val="center"/>
        <w:textAlignment w:val="auto"/>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pPr>
      <w:bookmarkStart w:id="46" w:name="_Toc8018"/>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第七章</w:t>
      </w:r>
      <w:r>
        <w:rPr>
          <w:rFonts w:hint="eastAsia" w:ascii="方正小标宋_GBK" w:hAnsi="方正小标宋_GBK" w:eastAsia="方正小标宋_GBK" w:cs="方正小标宋_GBK"/>
          <w:b w:val="0"/>
          <w:bCs/>
          <w:caps w:val="0"/>
          <w:smallCaps w:val="0"/>
          <w:color w:val="000000" w:themeColor="text1"/>
          <w:sz w:val="44"/>
          <w:szCs w:val="44"/>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sz w:val="44"/>
          <w:szCs w:val="44"/>
          <w14:textFill>
            <w14:solidFill>
              <w14:schemeClr w14:val="tx1"/>
            </w14:solidFill>
          </w14:textFill>
        </w:rPr>
        <w:t>规划实施保障措施</w:t>
      </w:r>
      <w:bookmarkEnd w:id="46"/>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47" w:name="_Toc31964"/>
      <w:bookmarkStart w:id="48" w:name="_Toc355271219"/>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aps w:val="0"/>
          <w:smallCaps w:val="0"/>
          <w:color w:val="000000" w:themeColor="text1"/>
          <w:sz w:val="32"/>
          <w:szCs w:val="32"/>
          <w14:textFill>
            <w14:solidFill>
              <w14:schemeClr w14:val="tx1"/>
            </w14:solidFill>
          </w14:textFill>
        </w:rPr>
        <w:t>一、加强组织领导</w:t>
      </w:r>
      <w:bookmarkEnd w:id="47"/>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（一）</w:t>
      </w:r>
      <w:r>
        <w:rPr>
          <w:rFonts w:hint="eastAsia" w:ascii="方正楷体_GBK" w:hAnsi="方正楷体_GBK" w:eastAsia="方正楷体_GBK" w:cs="方正楷体_GBK"/>
          <w:caps w:val="0"/>
          <w:smallCaps w:val="0"/>
          <w:color w:val="000000" w:themeColor="text1"/>
          <w:sz w:val="32"/>
          <w:szCs w:val="32"/>
          <w14:textFill>
            <w14:solidFill>
              <w14:schemeClr w14:val="tx1"/>
            </w14:solidFill>
          </w14:textFill>
        </w:rPr>
        <w:t>高位推动“无废城市”建设试点工作</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将</w:t>
      </w:r>
      <w:r>
        <w:rPr>
          <w:rFonts w:hint="eastAsia"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设试点工作列为市政府年度重点工作任务，作为深化城市管理体制改革的重要内容。成立梅河口市</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设试点工作领导小组，领导小组下设办公室，办公室设在市生态环境局。</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设试点领导小组定期召开会议，推进</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建设工作，各成员单位</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在“无废城市”建设</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试点工作领导小组的统一指挥下，强化部门协调、统筹固体废物领域相关工作，做好</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设试点工作统筹衔接，加强系统集成、发挥综合效益。</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明晰部门职责细化任务分工</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建立部门责任清单和重点工作任务清单，将各项任务、指标进行分解，明确任务责任部门，制定详细的进度安排表，按月调度试点任务及项目工作进展。各相关部门制定详细的工作任务实施计划，建立重点工作任务实施小组，集中优势力量、齐心协力推动工作任务实施。</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建立绩效考核体系强化责任落实</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强化目标责任考核，任务层层分解落实、责任到人。各有关部门和乡镇应加强</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对“无废城市”建设试</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点组织领导，认真贯彻执</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行“无废城市”建设</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试点要求，试点期间</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将“无废城市”建设任务纳入日常议事日程。将“无废城市”建设试</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点任务纳入乡镇、各部门绩效考核体系，实行党政同责、一岗双责，切实</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将“无废城市”建设试</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点任务作为中心工作抓落实，强化责任追究。</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（四）</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明确企业管理责任</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落实企业固体废物污染防治主体责任。综合运用法律、行政、经济等多种手段，持续推动企业落实处理固体废物的主体责任，建立企业自上而下的固体废物污染防治责任体系，完善产生者责任延伸制度。</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49" w:name="_Toc19106"/>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二、强化技术支撑</w:t>
      </w:r>
      <w:bookmarkEnd w:id="49"/>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（一）</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组建专家团队强化制度指导</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组建包括来自政府、吉林省环境科学研究院、吉林大学等科研院所和产业专家在内的技术团队，指导编制各项任务具体实施细则，并持续支</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持“无废城市”建设试</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点，确保一张蓝图描绘到底。充分依托技术帮扶组专家团队技术力量，为</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“无废城市”建设试点</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任务提供强有力的技术支撑。</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组建实施技术团队强化建设任务落地</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组建各领域任务实施团队，保障建设试点任务的可实施性、可操作性。重点强化农业废弃物、生活垃圾具体任务落实技术支持，及时解决试点过程中存在的问题。建立试点任务实施全过程技术指导团队，加强顶层设计与实施层的沟通协调，及时优化调整建设试点任务实施细节，确保政策落地产生实效。</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搭建“产学研政”技术创新平台</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支持搭</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建“产学研政”技术</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创新和应用推广平台，组织开展技术对接，促进先进适用技术转化落地。鼓励和扶持企业实行产业、产品结构调整与清洁生产技术相结合，全面实施增产增效、降耗减废战略。通过更新生产设备、采用先进生产工艺、改造落后生产工艺与设备，提高原材料利用率，减少固体废物产生与排放。加强固体废物污染防治技术研发，大力研究开发农业废弃物、农村生活垃圾污染防治技术及管理体系，提高固体废物污染防治的科技含量。</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（四）</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培育固体废物管理技术队伍</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加强对各部门固体废物管理队伍的培训力度，提升全市固体废物管理水平及决策能力。大力支持固体废物产生单位、经营单位引进固体废物污染防治人才。定期开展管理部门和企业交流座谈会，促进管理技术、工程技术相互融合，协同提升固体废物管理技术力量。</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50" w:name="_Toc19923"/>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三、加大资金政策性投入</w:t>
      </w:r>
      <w:bookmarkEnd w:id="50"/>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（一）</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积极申请财政资金支持</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积极争取各级财政资金支持，充分发挥政府在统筹整合各级财政资金中的主导作用，统筹中央和省、市各级财政涉环保、农、林、水、土等资金，通过横向合并、纵向串联等方式，整合财政专项协同开</w:t>
      </w:r>
      <w:r>
        <w:rPr>
          <w:rFonts w:hint="default" w:ascii="方正仿宋_GBK" w:hAnsi="方正仿宋_GBK" w:eastAsia="方正仿宋_GBK" w:cs="方正仿宋_GBK"/>
          <w:caps w:val="0"/>
          <w:smallCaps w:val="0"/>
          <w:color w:val="000000" w:themeColor="text1"/>
          <w:sz w:val="32"/>
          <w:szCs w:val="32"/>
          <w14:textFill>
            <w14:solidFill>
              <w14:schemeClr w14:val="tx1"/>
            </w14:solidFill>
          </w14:textFill>
        </w:rPr>
        <w:t>展“无废城市”建</w:t>
      </w: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设试点，强化绩效管理工作，切实提高财政资金使用效益。</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Times New Roman" w:hAnsi="Times New Roman" w:eastAsia="方正仿宋_GBK" w:cs="Times New Roman"/>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（二）</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引入社会资本市场主导短板项目建设</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积极推广政府和社会资本合作、环境污染第三方治理等模式，推行绿色信贷、绿色债券、绿色保险，通过市场化运作撬动金融资金和社会资本参与固体废物源头减量、资源化利用和安全处置体系建设。引入上市公司、央企等资金、技术力量雄厚的企业，高标准实施餐厨垃圾资源化、生活垃圾分类及再生资源收集体系、区域性畜禽粪污资源化项目。</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（三）</w:t>
      </w:r>
      <w:r>
        <w:rPr>
          <w:rFonts w:hint="default"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落实优惠政策强化政府引导作用</w:t>
      </w:r>
      <w:r>
        <w:rPr>
          <w:rFonts w:hint="eastAsia" w:ascii="方正楷体_GBK" w:hAnsi="方正楷体_GBK" w:eastAsia="方正楷体_GBK" w:cs="方正楷体_GBK"/>
          <w:caps w:val="0"/>
          <w:smallCaps w:val="0"/>
          <w:color w:val="000000" w:themeColor="text1"/>
          <w:sz w:val="32"/>
          <w:szCs w:val="32"/>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固体废物处置利用项目按国家规定享受税费减免政策。对列入国家鼓励发展的固体废物处置技术和设备，可按规定申请节能减排、循环经济、技术改造和环保补助等财政专项资金支持。对于符合条件的固体废物资源化综合利用产品，实行相应的税费优惠政策。</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bookmarkStart w:id="51" w:name="_Toc24484"/>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四、引导社会参与</w:t>
      </w:r>
      <w:bookmarkEnd w:id="51"/>
    </w:p>
    <w:p>
      <w:pPr>
        <w:pageBreakBefore w:val="0"/>
        <w:widowControl w:val="0"/>
        <w:shd w:val="clear" w:color="auto" w:fill="FFFFFF"/>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广泛开展固体废物污染防治宣传教育，通过电视、广播、报纸网络等媒体，以及对企业培训、发放相关宣传资料等多种渠道加大固体废物污染防治的宣传力度。通过公开危险废物违法典型案例，引导广大企业自觉履行危险废物处置主体责任，同时提高公众对危险废物的认识和法制观念，通过网站公布危险废物管理和污染防治等信息，适时开展环保设施向公众开放活动，推动社会监督。鼓励将举报固体废物和危险废物非法转移、倾倒、处置等列入重点奖励范围，提高公众、社会组织参与积极性。</w:t>
      </w:r>
    </w:p>
    <w:p>
      <w:pPr>
        <w:pStyle w:val="50"/>
        <w:pageBreakBefore w:val="0"/>
        <w:widowControl w:val="0"/>
        <w:kinsoku/>
        <w:wordWrap/>
        <w:overflowPunct/>
        <w:topLinePunct w:val="0"/>
        <w:autoSpaceDE/>
        <w:autoSpaceDN/>
        <w:bidi w:val="0"/>
        <w:adjustRightInd/>
        <w:snapToGrid/>
        <w:spacing w:before="0" w:after="0" w:line="586" w:lineRule="exact"/>
        <w:ind w:firstLine="640" w:firstLineChars="200"/>
        <w:jc w:val="both"/>
        <w:textAlignment w:val="auto"/>
        <w:outlineLvl w:val="1"/>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pPr>
      <w:bookmarkStart w:id="52" w:name="_Toc30001"/>
      <w:r>
        <w:rPr>
          <w:rFonts w:hint="default" w:ascii="方正黑体_GBK" w:hAnsi="方正黑体_GBK" w:eastAsia="方正黑体_GBK" w:cs="方正黑体_GBK"/>
          <w:b w:val="0"/>
          <w:bCs/>
          <w:caps w:val="0"/>
          <w:smallCaps w:val="0"/>
          <w:color w:val="000000" w:themeColor="text1"/>
          <w:sz w:val="32"/>
          <w:szCs w:val="32"/>
          <w14:textFill>
            <w14:solidFill>
              <w14:schemeClr w14:val="tx1"/>
            </w14:solidFill>
          </w14:textFill>
        </w:rPr>
        <w:t>五、推进近期重点工程建设</w:t>
      </w:r>
      <w:bookmarkEnd w:id="52"/>
    </w:p>
    <w:p>
      <w:pPr>
        <w:pageBreakBefore w:val="0"/>
        <w:widowControl w:val="0"/>
        <w:kinsoku/>
        <w:wordWrap/>
        <w:overflowPunct/>
        <w:topLinePunct w:val="0"/>
        <w:autoSpaceDE/>
        <w:autoSpaceDN/>
        <w:bidi w:val="0"/>
        <w:adjustRightInd/>
        <w:snapToGrid/>
        <w:spacing w:line="586" w:lineRule="exact"/>
        <w:ind w:firstLine="640" w:firstLineChars="200"/>
        <w:jc w:val="both"/>
        <w:textAlignment w:val="auto"/>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sectPr>
          <w:footerReference r:id="rId11" w:type="default"/>
          <w:pgSz w:w="11906" w:h="16838"/>
          <w:pgMar w:top="1440" w:right="1587" w:bottom="1361" w:left="1587" w:header="851" w:footer="992" w:gutter="0"/>
          <w:pgNumType w:fmt="decimal"/>
          <w:cols w:space="0" w:num="1"/>
          <w:rtlGutter w:val="0"/>
          <w:docGrid w:type="linesAndChars" w:linePitch="312" w:charSpace="0"/>
        </w:sectPr>
      </w:pPr>
      <w:r>
        <w:rPr>
          <w:rFonts w:hint="default" w:ascii="Times New Roman" w:hAnsi="Times New Roman" w:eastAsia="方正仿宋_GBK" w:cs="Times New Roman"/>
          <w:caps w:val="0"/>
          <w:smallCaps w:val="0"/>
          <w:color w:val="000000" w:themeColor="text1"/>
          <w:sz w:val="32"/>
          <w:szCs w:val="32"/>
          <w14:textFill>
            <w14:solidFill>
              <w14:schemeClr w14:val="tx1"/>
            </w14:solidFill>
          </w14:textFill>
        </w:rPr>
        <w:t>积极推进近期重点工程的建设，确保规划的顺利实施。</w:t>
      </w:r>
      <w:bookmarkEnd w:id="9"/>
      <w:bookmarkEnd w:id="48"/>
    </w:p>
    <w:p>
      <w:pPr>
        <w:pStyle w:val="2"/>
        <w:widowControl w:val="0"/>
        <w:kinsoku/>
        <w:wordWrap/>
        <w:overflowPunct/>
        <w:topLinePunct w:val="0"/>
        <w:autoSpaceDE/>
        <w:autoSpaceDN/>
        <w:bidi w:val="0"/>
        <w:spacing w:before="0" w:after="0" w:line="240" w:lineRule="auto"/>
        <w:jc w:val="both"/>
        <w:textAlignment w:val="auto"/>
        <w:rPr>
          <w:rFonts w:hint="eastAsia" w:ascii="方正小标宋_GBK" w:hAnsi="方正小标宋_GBK" w:eastAsia="方正小标宋_GBK" w:cs="方正小标宋_GBK"/>
          <w:b w:val="0"/>
          <w:bCs/>
          <w:caps w:val="0"/>
          <w:smallCaps w:val="0"/>
          <w:color w:val="000000" w:themeColor="text1"/>
          <w14:textFill>
            <w14:solidFill>
              <w14:schemeClr w14:val="tx1"/>
            </w14:solidFill>
          </w14:textFill>
        </w:rPr>
      </w:pPr>
      <w:bookmarkStart w:id="53" w:name="_Toc15355"/>
      <w:bookmarkStart w:id="54" w:name="_Toc531330045"/>
      <w:r>
        <w:rPr>
          <w:rFonts w:hint="eastAsia" w:ascii="方正黑体_GBK" w:hAnsi="方正黑体_GBK" w:eastAsia="方正黑体_GBK" w:cs="方正黑体_GBK"/>
          <w:b w:val="0"/>
          <w:bCs/>
          <w:caps w:val="0"/>
          <w:smallCaps w:val="0"/>
          <w:color w:val="000000" w:themeColor="text1"/>
          <w:sz w:val="28"/>
          <w:szCs w:val="28"/>
          <w14:textFill>
            <w14:solidFill>
              <w14:schemeClr w14:val="tx1"/>
            </w14:solidFill>
          </w14:textFill>
        </w:rPr>
        <w:t>附表</w:t>
      </w:r>
      <w:r>
        <w:rPr>
          <w:rFonts w:hint="eastAsia" w:ascii="方正小标宋_GBK" w:hAnsi="方正小标宋_GBK" w:eastAsia="方正小标宋_GBK" w:cs="方正小标宋_GBK"/>
          <w:b w:val="0"/>
          <w:bCs/>
          <w:caps w:val="0"/>
          <w:smallCaps w:val="0"/>
          <w:color w:val="000000" w:themeColor="text1"/>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lang w:val="en-US" w:eastAsia="zh-CN"/>
          <w14:textFill>
            <w14:solidFill>
              <w14:schemeClr w14:val="tx1"/>
            </w14:solidFill>
          </w14:textFill>
        </w:rPr>
        <w:t xml:space="preserve">                                       </w:t>
      </w:r>
      <w:r>
        <w:rPr>
          <w:rFonts w:hint="eastAsia" w:ascii="方正小标宋_GBK" w:hAnsi="方正小标宋_GBK" w:eastAsia="方正小标宋_GBK" w:cs="方正小标宋_GBK"/>
          <w:b w:val="0"/>
          <w:bCs/>
          <w:caps w:val="0"/>
          <w:smallCaps w:val="0"/>
          <w:color w:val="000000" w:themeColor="text1"/>
          <w14:textFill>
            <w14:solidFill>
              <w14:schemeClr w14:val="tx1"/>
            </w14:solidFill>
          </w14:textFill>
        </w:rPr>
        <w:t>固体废物污染防治专项规划近期重点工程</w:t>
      </w:r>
      <w:bookmarkEnd w:id="53"/>
      <w:bookmarkEnd w:id="54"/>
    </w:p>
    <w:tbl>
      <w:tblPr>
        <w:tblStyle w:val="25"/>
        <w:tblW w:w="497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18"/>
        <w:gridCol w:w="3041"/>
        <w:gridCol w:w="4216"/>
        <w:gridCol w:w="2711"/>
        <w:gridCol w:w="1229"/>
        <w:gridCol w:w="13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86"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14:textFill>
                  <w14:solidFill>
                    <w14:schemeClr w14:val="tx1"/>
                  </w14:solidFill>
                </w14:textFill>
              </w:rPr>
              <w:t>序号</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14:textFill>
                  <w14:solidFill>
                    <w14:schemeClr w14:val="tx1"/>
                  </w14:solidFill>
                </w14:textFill>
              </w:rPr>
              <w:t>项目名称</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14:textFill>
                  <w14:solidFill>
                    <w14:schemeClr w14:val="tx1"/>
                  </w14:solidFill>
                </w14:textFill>
              </w:rPr>
              <w:t>建设内容及预期目标</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14:textFill>
                  <w14:solidFill>
                    <w14:schemeClr w14:val="tx1"/>
                  </w14:solidFill>
                </w14:textFill>
              </w:rPr>
              <w:t>责任单位</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14:textFill>
                  <w14:solidFill>
                    <w14:schemeClr w14:val="tx1"/>
                  </w14:solidFill>
                </w14:textFill>
              </w:rPr>
              <w:t>完成时限</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lang w:val="en-US"/>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lang w:val="en-US"/>
                <w14:textFill>
                  <w14:solidFill>
                    <w14:schemeClr w14:val="tx1"/>
                  </w14:solidFill>
                </w14:textFill>
              </w:rPr>
              <w:t>资金投入</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b/>
                <w:bCs/>
                <w:caps w:val="0"/>
                <w:smallCaps w:val="0"/>
                <w:color w:val="000000" w:themeColor="text1"/>
                <w:sz w:val="24"/>
                <w14:textFill>
                  <w14:solidFill>
                    <w14:schemeClr w14:val="tx1"/>
                  </w14:solidFill>
                </w14:textFill>
              </w:rPr>
            </w:pPr>
            <w:r>
              <w:rPr>
                <w:rFonts w:hint="default" w:ascii="Times New Roman" w:hAnsi="Times New Roman" w:eastAsia="方正仿宋_GBK" w:cs="Times New Roman"/>
                <w:b/>
                <w:bCs/>
                <w:caps w:val="0"/>
                <w:smallCaps w:val="0"/>
                <w:color w:val="000000" w:themeColor="text1"/>
                <w:sz w:val="24"/>
                <w:lang w:val="en-US"/>
                <w14:textFill>
                  <w14:solidFill>
                    <w14:schemeClr w14:val="tx1"/>
                  </w14:solidFill>
                </w14:textFill>
              </w:rPr>
              <w:t>（ 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86"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1</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生活垃圾焚烧发电项目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建设生活垃圾焚烧发电厂，实现生活垃圾资源化利用，推进生活垃圾分类，利用垃圾发电，实现资源化利用</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市城市管理</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行政</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执法局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2022年底</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35000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86"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生活垃圾分类收集、</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专业团队转运、</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县处理体系建设项目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建立生活垃圾分类收集、专业团队转运、县处理体系，实现城乡生活垃圾一体化分类收集</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市城市管理</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行政</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执法局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持续开展</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10000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04"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3</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双星集团伊克斯达</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生态循环利用工业项目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建设双星集团伊克斯达生态循环利用工业项目，年处理10万吨废旧轮胎</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市发展</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和</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改革局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2025年底</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50000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86"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4</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吉林省泽盛集团环保工程</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有限公司生态环保项目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建设吉林省泽盛集团环保工程有限公司生态环保项目，年处置危险废物15万吨</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市发展</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和</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改革局</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市生态环境局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2022年底</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50000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86"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5</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国能梅河口生物发电</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异地搬迁扩能改造项目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建设国能梅河口生物发电异地搬迁扩能改造项目，年转换秸秆30万吨，年发电2.5亿千瓦时</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市发展</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和</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改革局</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市工信局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2022年底</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40000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886"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6</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重点乡镇生活垃圾转运项目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在山城镇、海龙镇、红梅镇新建3座小型垃圾转运站。进一步完善农村生活垃圾</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转运</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体系建设。</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市城市管理</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行政</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执法局</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重点乡镇人民政府</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2020年底</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1700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04"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7</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餐厨垃圾处理厂建设项目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建设餐厨垃圾处理厂，进一步完善生活垃圾分类，实现餐厨垃圾综合利用</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市发展</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和</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改革局</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市城市管理</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行政</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执法局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2025年</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3000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04"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8</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有机肥加工厂建设项目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建设年产1万吨有机肥厂2个，对畜禽粪便进行无害化处理。</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市农业农村局</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市发展</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和</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改革局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2025年</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604"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9</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梅河口市固体废物环境监管</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和应急处置能力建设项目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完善固体废物环境监管和应急处置能力建设，达到无废城市管理要求</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市生态环境局</w:t>
            </w:r>
          </w:p>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市应急</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管理</w:t>
            </w: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2022年</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cantSplit/>
          <w:trHeight w:val="727" w:hRule="atLeast"/>
          <w:jc w:val="center"/>
        </w:trPr>
        <w:tc>
          <w:tcPr>
            <w:tcW w:w="30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10</w:t>
            </w:r>
          </w:p>
        </w:tc>
        <w:tc>
          <w:tcPr>
            <w:tcW w:w="1136"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环境宣传教育能力建设项目</w:t>
            </w:r>
          </w:p>
        </w:tc>
        <w:tc>
          <w:tcPr>
            <w:tcW w:w="1575"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提高环境宣传教育能力，达到无废城市建设要求</w:t>
            </w:r>
            <w:r>
              <w:rPr>
                <w:rFonts w:hint="eastAsia" w:ascii="Times New Roman" w:hAnsi="Times New Roman" w:eastAsia="方正仿宋_GBK" w:cs="Times New Roman"/>
                <w:caps w:val="0"/>
                <w:smallCaps w:val="0"/>
                <w:color w:val="000000" w:themeColor="text1"/>
                <w:sz w:val="21"/>
                <w:szCs w:val="21"/>
                <w:lang w:val="en-US" w:eastAsia="zh-CN"/>
                <w14:textFill>
                  <w14:solidFill>
                    <w14:schemeClr w14:val="tx1"/>
                  </w14:solidFill>
                </w14:textFill>
              </w:rPr>
              <w:t>。</w:t>
            </w:r>
          </w:p>
        </w:tc>
        <w:tc>
          <w:tcPr>
            <w:tcW w:w="1013"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市生态环境局</w:t>
            </w:r>
          </w:p>
        </w:tc>
        <w:tc>
          <w:tcPr>
            <w:tcW w:w="459"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2022年</w:t>
            </w:r>
          </w:p>
        </w:tc>
        <w:tc>
          <w:tcPr>
            <w:tcW w:w="508" w:type="pct"/>
            <w:vAlign w:val="center"/>
          </w:tcPr>
          <w:p>
            <w:pPr>
              <w:pStyle w:val="5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pPr>
            <w:r>
              <w:rPr>
                <w:rFonts w:hint="default" w:ascii="Times New Roman" w:hAnsi="Times New Roman" w:eastAsia="方正仿宋_GBK" w:cs="Times New Roman"/>
                <w:caps w:val="0"/>
                <w:smallCaps w:val="0"/>
                <w:color w:val="000000" w:themeColor="text1"/>
                <w:sz w:val="21"/>
                <w:szCs w:val="21"/>
                <w:lang w:val="en-US"/>
                <w14:textFill>
                  <w14:solidFill>
                    <w14:schemeClr w14:val="tx1"/>
                  </w14:solidFill>
                </w14:textFill>
              </w:rPr>
              <w:t>200</w:t>
            </w:r>
          </w:p>
        </w:tc>
      </w:tr>
    </w:tbl>
    <w:p>
      <w:pPr>
        <w:widowControl w:val="0"/>
        <w:kinsoku/>
        <w:wordWrap/>
        <w:overflowPunct/>
        <w:topLinePunct w:val="0"/>
        <w:autoSpaceDE/>
        <w:autoSpaceDN/>
        <w:bidi w:val="0"/>
        <w:textAlignment w:val="auto"/>
        <w:outlineLvl w:val="0"/>
        <w:rPr>
          <w:rFonts w:hint="eastAsia" w:ascii="方正黑体_GBK" w:hAnsi="方正黑体_GBK" w:eastAsia="方正黑体_GBK" w:cs="方正黑体_GBK"/>
          <w:b w:val="0"/>
          <w:bCs/>
          <w:caps w:val="0"/>
          <w:smallCaps w:val="0"/>
          <w:color w:val="000000" w:themeColor="text1"/>
          <w:kern w:val="44"/>
          <w:sz w:val="32"/>
          <w:szCs w:val="20"/>
          <w14:textFill>
            <w14:solidFill>
              <w14:schemeClr w14:val="tx1"/>
            </w14:solidFill>
          </w14:textFill>
        </w:rPr>
      </w:pPr>
      <w:bookmarkStart w:id="55" w:name="_Toc22521"/>
      <w:r>
        <w:rPr>
          <w:rFonts w:hint="eastAsia" w:ascii="方正黑体_GBK" w:hAnsi="方正黑体_GBK" w:eastAsia="方正黑体_GBK" w:cs="方正黑体_GBK"/>
          <w:b w:val="0"/>
          <w:bCs/>
          <w:caps w:val="0"/>
          <w:smallCaps w:val="0"/>
          <w:color w:val="000000" w:themeColor="text1"/>
          <w:kern w:val="44"/>
          <w:sz w:val="32"/>
          <w:szCs w:val="20"/>
          <w14:textFill>
            <w14:solidFill>
              <w14:schemeClr w14:val="tx1"/>
            </w14:solidFill>
          </w14:textFill>
        </w:rPr>
        <w:t>附图</w:t>
      </w:r>
      <w:bookmarkEnd w:id="55"/>
    </w:p>
    <w:p>
      <w:pPr>
        <w:keepNext w:val="0"/>
        <w:keepLines w:val="0"/>
        <w:pageBreakBefore w:val="0"/>
        <w:widowControl w:val="0"/>
        <w:kinsoku/>
        <w:wordWrap/>
        <w:overflowPunct/>
        <w:topLinePunct w:val="0"/>
        <w:autoSpaceDE/>
        <w:autoSpaceDN/>
        <w:bidi w:val="0"/>
        <w:adjustRightInd/>
        <w:snapToGrid/>
        <w:jc w:val="center"/>
        <w:textAlignment w:val="auto"/>
        <w:rPr>
          <w:caps w:val="0"/>
          <w:smallCaps w:val="0"/>
          <w:color w:val="000000" w:themeColor="text1"/>
          <w:sz w:val="28"/>
          <w:szCs w:val="28"/>
          <w14:textFill>
            <w14:solidFill>
              <w14:schemeClr w14:val="tx1"/>
            </w14:solidFill>
          </w14:textFill>
        </w:rPr>
      </w:pPr>
      <w:r>
        <w:rPr>
          <w:rFonts w:hint="eastAsia"/>
          <w:caps w:val="0"/>
          <w:smallCaps w:val="0"/>
          <w:color w:val="000000" w:themeColor="text1"/>
          <w:sz w:val="28"/>
          <w:szCs w:val="28"/>
          <w14:textFill>
            <w14:solidFill>
              <w14:schemeClr w14:val="tx1"/>
            </w14:solidFill>
          </w14:textFill>
        </w:rPr>
        <w:drawing>
          <wp:inline distT="0" distB="0" distL="0" distR="0">
            <wp:extent cx="6708775" cy="5464810"/>
            <wp:effectExtent l="0" t="0" r="158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38102" cy="5488397"/>
                    </a:xfrm>
                    <a:prstGeom prst="rect">
                      <a:avLst/>
                    </a:prstGeom>
                  </pic:spPr>
                </pic:pic>
              </a:graphicData>
            </a:graphic>
          </wp:inline>
        </w:drawing>
      </w:r>
      <w:r>
        <w:rPr>
          <w:rFonts w:hint="eastAsia"/>
          <w:caps w:val="0"/>
          <w:smallCaps w:val="0"/>
          <w:color w:val="000000" w:themeColor="text1"/>
          <w:sz w:val="28"/>
          <w:szCs w:val="28"/>
          <w14:textFill>
            <w14:solidFill>
              <w14:schemeClr w14:val="tx1"/>
            </w14:solidFill>
          </w14:textFill>
        </w:rPr>
        <w:drawing>
          <wp:inline distT="0" distB="0" distL="0" distR="0">
            <wp:extent cx="6015355" cy="5897245"/>
            <wp:effectExtent l="0" t="0" r="444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5355" cy="5897245"/>
                    </a:xfrm>
                    <a:prstGeom prst="rect">
                      <a:avLst/>
                    </a:prstGeom>
                  </pic:spPr>
                </pic:pic>
              </a:graphicData>
            </a:graphic>
          </wp:inline>
        </w:drawing>
      </w:r>
      <w:r>
        <w:rPr>
          <w:rFonts w:hint="eastAsia"/>
          <w:caps w:val="0"/>
          <w:smallCaps w:val="0"/>
          <w:color w:val="000000" w:themeColor="text1"/>
          <w:sz w:val="28"/>
          <w:szCs w:val="28"/>
          <w14:textFill>
            <w14:solidFill>
              <w14:schemeClr w14:val="tx1"/>
            </w14:solidFill>
          </w14:textFill>
        </w:rPr>
        <w:drawing>
          <wp:inline distT="0" distB="0" distL="0" distR="0">
            <wp:extent cx="6758940" cy="589153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4044" cy="5896365"/>
                    </a:xfrm>
                    <a:prstGeom prst="rect">
                      <a:avLst/>
                    </a:prstGeom>
                  </pic:spPr>
                </pic:pic>
              </a:graphicData>
            </a:graphic>
          </wp:inline>
        </w:drawing>
      </w:r>
    </w:p>
    <w:sectPr>
      <w:footerReference r:id="rId12" w:type="default"/>
      <w:pgSz w:w="16839" w:h="11907" w:orient="landscape"/>
      <w:pgMar w:top="737" w:right="1701" w:bottom="737" w:left="1701"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pPr>
  </w:p>
  <w:p>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95930931"/>
                            <w:docPartObj>
                              <w:docPartGallery w:val="autotext"/>
                            </w:docPartObj>
                          </w:sdtPr>
                          <w:sdtEndPr>
                            <w:rPr>
                              <w:rFonts w:hint="eastAsia" w:asciiTheme="minorEastAsia" w:hAnsiTheme="minorEastAsia" w:eastAsiaTheme="minorEastAsia" w:cstheme="minorEastAsia"/>
                              <w:sz w:val="28"/>
                              <w:szCs w:val="28"/>
                            </w:rPr>
                          </w:sdtEndPr>
                          <w:sdtContent>
                            <w:p>
                              <w:pPr>
                                <w:pStyle w:val="17"/>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sdtContent>
                        </w:sdt>
                        <w:p>
                          <w:pPr>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695930931"/>
                      <w:docPartObj>
                        <w:docPartGallery w:val="autotext"/>
                      </w:docPartObj>
                    </w:sdtPr>
                    <w:sdtEndPr>
                      <w:rPr>
                        <w:rFonts w:hint="eastAsia" w:asciiTheme="minorEastAsia" w:hAnsiTheme="minorEastAsia" w:eastAsiaTheme="minorEastAsia" w:cstheme="minorEastAsia"/>
                        <w:sz w:val="28"/>
                        <w:szCs w:val="28"/>
                      </w:rPr>
                    </w:sdtEndPr>
                    <w:sdtContent>
                      <w:p>
                        <w:pPr>
                          <w:pStyle w:val="17"/>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sdtContent>
                  </w:sdt>
                  <w:p>
                    <w:pPr>
                      <w:rPr>
                        <w:rFonts w:hint="eastAsia" w:asciiTheme="minorEastAsia" w:hAnsiTheme="minorEastAsia" w:eastAsiaTheme="minorEastAsia" w:cstheme="minorEastAsia"/>
                        <w:sz w:val="28"/>
                        <w:szCs w:val="28"/>
                      </w:rPr>
                    </w:pPr>
                  </w:p>
                </w:txbxContent>
              </v:textbox>
            </v:shape>
          </w:pict>
        </mc:Fallback>
      </mc:AlternateContent>
    </w:r>
  </w:p>
  <w:p>
    <w:pP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p>
    <w:pPr>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rPr>
                        <w:rFonts w:hint="eastAsia" w:eastAsiaTheme="minorEastAsia"/>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p>
    <w:pPr>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p>
    <w:pPr>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E1460D"/>
    <w:multiLevelType w:val="multilevel"/>
    <w:tmpl w:val="2DE1460D"/>
    <w:lvl w:ilvl="0" w:tentative="0">
      <w:start w:val="1"/>
      <w:numFmt w:val="decimal"/>
      <w:lvlText w:val="%1."/>
      <w:lvlJc w:val="left"/>
      <w:pPr>
        <w:ind w:left="980" w:hanging="420"/>
      </w:pPr>
      <w:rPr>
        <w:rFonts w:hint="default" w:ascii="Times New Roman" w:hAnsi="Times New Roman" w:cs="Times New Roman"/>
        <w:b w:val="0"/>
        <w:bCs w:val="0"/>
        <w:color w:val="000000" w:themeColor="text1"/>
        <w14:textFill>
          <w14:solidFill>
            <w14:schemeClr w14:val="tx1"/>
          </w14:solidFill>
        </w14:textFill>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wNDRjNGFlMzRiY2U1NDczMzY0NmY3YjlhMzUxNjEifQ=="/>
  </w:docVars>
  <w:rsids>
    <w:rsidRoot w:val="000B51B9"/>
    <w:rsid w:val="00000511"/>
    <w:rsid w:val="000005B6"/>
    <w:rsid w:val="00002417"/>
    <w:rsid w:val="00002AC8"/>
    <w:rsid w:val="00002B92"/>
    <w:rsid w:val="00002CE6"/>
    <w:rsid w:val="00003484"/>
    <w:rsid w:val="0000403D"/>
    <w:rsid w:val="0000438E"/>
    <w:rsid w:val="00005041"/>
    <w:rsid w:val="000051DB"/>
    <w:rsid w:val="0000526A"/>
    <w:rsid w:val="00010245"/>
    <w:rsid w:val="000107AF"/>
    <w:rsid w:val="000115C0"/>
    <w:rsid w:val="00013BC0"/>
    <w:rsid w:val="00015EDD"/>
    <w:rsid w:val="0001608E"/>
    <w:rsid w:val="0001635F"/>
    <w:rsid w:val="00016DAD"/>
    <w:rsid w:val="000210BF"/>
    <w:rsid w:val="000210FC"/>
    <w:rsid w:val="000211C1"/>
    <w:rsid w:val="00021CED"/>
    <w:rsid w:val="00021D51"/>
    <w:rsid w:val="00022B63"/>
    <w:rsid w:val="000242F2"/>
    <w:rsid w:val="000246CB"/>
    <w:rsid w:val="00025A5C"/>
    <w:rsid w:val="000260E4"/>
    <w:rsid w:val="000266D4"/>
    <w:rsid w:val="00026D78"/>
    <w:rsid w:val="00027952"/>
    <w:rsid w:val="00030897"/>
    <w:rsid w:val="00031BA9"/>
    <w:rsid w:val="00032467"/>
    <w:rsid w:val="00032DC4"/>
    <w:rsid w:val="0003335C"/>
    <w:rsid w:val="00033DE6"/>
    <w:rsid w:val="00034001"/>
    <w:rsid w:val="000348F4"/>
    <w:rsid w:val="00034FEA"/>
    <w:rsid w:val="0003560A"/>
    <w:rsid w:val="00037C4A"/>
    <w:rsid w:val="000401A5"/>
    <w:rsid w:val="00040BA9"/>
    <w:rsid w:val="00040DE7"/>
    <w:rsid w:val="0004159D"/>
    <w:rsid w:val="00041B5E"/>
    <w:rsid w:val="00041B93"/>
    <w:rsid w:val="00041CE9"/>
    <w:rsid w:val="000440E7"/>
    <w:rsid w:val="00044AC8"/>
    <w:rsid w:val="0004548C"/>
    <w:rsid w:val="00045FFE"/>
    <w:rsid w:val="00046C26"/>
    <w:rsid w:val="00050FC4"/>
    <w:rsid w:val="000514E8"/>
    <w:rsid w:val="00051749"/>
    <w:rsid w:val="000518A5"/>
    <w:rsid w:val="000526E4"/>
    <w:rsid w:val="00053A5B"/>
    <w:rsid w:val="000540C7"/>
    <w:rsid w:val="00054A15"/>
    <w:rsid w:val="00054FE8"/>
    <w:rsid w:val="0005577E"/>
    <w:rsid w:val="00055912"/>
    <w:rsid w:val="00056F9D"/>
    <w:rsid w:val="000573FB"/>
    <w:rsid w:val="0006157E"/>
    <w:rsid w:val="00061605"/>
    <w:rsid w:val="000625A0"/>
    <w:rsid w:val="00063075"/>
    <w:rsid w:val="00064398"/>
    <w:rsid w:val="00064556"/>
    <w:rsid w:val="000662F8"/>
    <w:rsid w:val="000668C0"/>
    <w:rsid w:val="000674FA"/>
    <w:rsid w:val="00070F81"/>
    <w:rsid w:val="000714C2"/>
    <w:rsid w:val="000715B0"/>
    <w:rsid w:val="0007346F"/>
    <w:rsid w:val="00074CC7"/>
    <w:rsid w:val="000759B1"/>
    <w:rsid w:val="00080BF2"/>
    <w:rsid w:val="000815DF"/>
    <w:rsid w:val="00083510"/>
    <w:rsid w:val="00083CED"/>
    <w:rsid w:val="0008507B"/>
    <w:rsid w:val="000865BF"/>
    <w:rsid w:val="000868F8"/>
    <w:rsid w:val="0008697F"/>
    <w:rsid w:val="00087205"/>
    <w:rsid w:val="00090F57"/>
    <w:rsid w:val="0009184C"/>
    <w:rsid w:val="0009281B"/>
    <w:rsid w:val="00092A29"/>
    <w:rsid w:val="00093716"/>
    <w:rsid w:val="00093724"/>
    <w:rsid w:val="00093A98"/>
    <w:rsid w:val="00094633"/>
    <w:rsid w:val="00094878"/>
    <w:rsid w:val="000949A3"/>
    <w:rsid w:val="00094CE6"/>
    <w:rsid w:val="000954BF"/>
    <w:rsid w:val="00095A10"/>
    <w:rsid w:val="000969EC"/>
    <w:rsid w:val="00096B95"/>
    <w:rsid w:val="00096E88"/>
    <w:rsid w:val="000A040E"/>
    <w:rsid w:val="000A0C25"/>
    <w:rsid w:val="000A1A9C"/>
    <w:rsid w:val="000A3AA7"/>
    <w:rsid w:val="000A445E"/>
    <w:rsid w:val="000A6AB9"/>
    <w:rsid w:val="000B060C"/>
    <w:rsid w:val="000B0894"/>
    <w:rsid w:val="000B0A80"/>
    <w:rsid w:val="000B0B65"/>
    <w:rsid w:val="000B17FA"/>
    <w:rsid w:val="000B23B4"/>
    <w:rsid w:val="000B2B4E"/>
    <w:rsid w:val="000B3EEF"/>
    <w:rsid w:val="000B51B9"/>
    <w:rsid w:val="000B571F"/>
    <w:rsid w:val="000B5A3E"/>
    <w:rsid w:val="000B5A8E"/>
    <w:rsid w:val="000B5B55"/>
    <w:rsid w:val="000B5D99"/>
    <w:rsid w:val="000B7392"/>
    <w:rsid w:val="000C3F6B"/>
    <w:rsid w:val="000C4B43"/>
    <w:rsid w:val="000C55C3"/>
    <w:rsid w:val="000C78D8"/>
    <w:rsid w:val="000D05F5"/>
    <w:rsid w:val="000D1D19"/>
    <w:rsid w:val="000D335A"/>
    <w:rsid w:val="000D41F6"/>
    <w:rsid w:val="000D4709"/>
    <w:rsid w:val="000D5F92"/>
    <w:rsid w:val="000D600D"/>
    <w:rsid w:val="000D796B"/>
    <w:rsid w:val="000E08EF"/>
    <w:rsid w:val="000E2A8F"/>
    <w:rsid w:val="000E2BDD"/>
    <w:rsid w:val="000E4DC1"/>
    <w:rsid w:val="000F0951"/>
    <w:rsid w:val="000F276F"/>
    <w:rsid w:val="000F2EE2"/>
    <w:rsid w:val="000F4B07"/>
    <w:rsid w:val="000F5E6C"/>
    <w:rsid w:val="000F62E4"/>
    <w:rsid w:val="000F6CF9"/>
    <w:rsid w:val="00100FA7"/>
    <w:rsid w:val="00101600"/>
    <w:rsid w:val="00102DB6"/>
    <w:rsid w:val="00102FC4"/>
    <w:rsid w:val="00104662"/>
    <w:rsid w:val="00104F79"/>
    <w:rsid w:val="0010677C"/>
    <w:rsid w:val="00106D67"/>
    <w:rsid w:val="00107AC1"/>
    <w:rsid w:val="00107AFC"/>
    <w:rsid w:val="00107E90"/>
    <w:rsid w:val="0011052D"/>
    <w:rsid w:val="0011076F"/>
    <w:rsid w:val="00110CC1"/>
    <w:rsid w:val="00115C40"/>
    <w:rsid w:val="00115C82"/>
    <w:rsid w:val="00121325"/>
    <w:rsid w:val="00121693"/>
    <w:rsid w:val="0012260C"/>
    <w:rsid w:val="00122DA6"/>
    <w:rsid w:val="00123ADB"/>
    <w:rsid w:val="0012505E"/>
    <w:rsid w:val="0012646F"/>
    <w:rsid w:val="00126664"/>
    <w:rsid w:val="001271BA"/>
    <w:rsid w:val="00127FAD"/>
    <w:rsid w:val="00131DDB"/>
    <w:rsid w:val="00133A4D"/>
    <w:rsid w:val="00134A12"/>
    <w:rsid w:val="00134A47"/>
    <w:rsid w:val="001351FD"/>
    <w:rsid w:val="00135346"/>
    <w:rsid w:val="0013556A"/>
    <w:rsid w:val="00135C3E"/>
    <w:rsid w:val="00135F15"/>
    <w:rsid w:val="0013684A"/>
    <w:rsid w:val="00137248"/>
    <w:rsid w:val="00141281"/>
    <w:rsid w:val="001414F0"/>
    <w:rsid w:val="00141C30"/>
    <w:rsid w:val="00142BED"/>
    <w:rsid w:val="001434CF"/>
    <w:rsid w:val="001438D6"/>
    <w:rsid w:val="0014449A"/>
    <w:rsid w:val="0015040E"/>
    <w:rsid w:val="00151059"/>
    <w:rsid w:val="00152EF8"/>
    <w:rsid w:val="00152FD8"/>
    <w:rsid w:val="00156D9B"/>
    <w:rsid w:val="00156E2B"/>
    <w:rsid w:val="0015738A"/>
    <w:rsid w:val="00157652"/>
    <w:rsid w:val="00161BF0"/>
    <w:rsid w:val="001626BC"/>
    <w:rsid w:val="001628F0"/>
    <w:rsid w:val="00163074"/>
    <w:rsid w:val="001641DC"/>
    <w:rsid w:val="00164876"/>
    <w:rsid w:val="00164A60"/>
    <w:rsid w:val="00164C6F"/>
    <w:rsid w:val="00166270"/>
    <w:rsid w:val="00166745"/>
    <w:rsid w:val="00167549"/>
    <w:rsid w:val="00167B6F"/>
    <w:rsid w:val="00170D5A"/>
    <w:rsid w:val="00171E9C"/>
    <w:rsid w:val="001722F8"/>
    <w:rsid w:val="0017265C"/>
    <w:rsid w:val="0017269D"/>
    <w:rsid w:val="0017277F"/>
    <w:rsid w:val="00172A89"/>
    <w:rsid w:val="00173DFB"/>
    <w:rsid w:val="00174126"/>
    <w:rsid w:val="001742D7"/>
    <w:rsid w:val="00180E92"/>
    <w:rsid w:val="00182535"/>
    <w:rsid w:val="001836AA"/>
    <w:rsid w:val="001842AB"/>
    <w:rsid w:val="00184340"/>
    <w:rsid w:val="00185571"/>
    <w:rsid w:val="0018678E"/>
    <w:rsid w:val="00186B36"/>
    <w:rsid w:val="00186FB9"/>
    <w:rsid w:val="001876CC"/>
    <w:rsid w:val="00190995"/>
    <w:rsid w:val="001928E3"/>
    <w:rsid w:val="001941DB"/>
    <w:rsid w:val="00194280"/>
    <w:rsid w:val="00194776"/>
    <w:rsid w:val="00195BB7"/>
    <w:rsid w:val="00195BC5"/>
    <w:rsid w:val="00195CC4"/>
    <w:rsid w:val="00195D08"/>
    <w:rsid w:val="001960DB"/>
    <w:rsid w:val="001A0409"/>
    <w:rsid w:val="001A0BF2"/>
    <w:rsid w:val="001A2816"/>
    <w:rsid w:val="001A3F81"/>
    <w:rsid w:val="001A4338"/>
    <w:rsid w:val="001A48DC"/>
    <w:rsid w:val="001A49B5"/>
    <w:rsid w:val="001B0135"/>
    <w:rsid w:val="001B136E"/>
    <w:rsid w:val="001B13D1"/>
    <w:rsid w:val="001B147B"/>
    <w:rsid w:val="001B1667"/>
    <w:rsid w:val="001B1977"/>
    <w:rsid w:val="001B4D36"/>
    <w:rsid w:val="001B6D33"/>
    <w:rsid w:val="001C0538"/>
    <w:rsid w:val="001C1725"/>
    <w:rsid w:val="001C17BF"/>
    <w:rsid w:val="001C2365"/>
    <w:rsid w:val="001C2BCB"/>
    <w:rsid w:val="001C30FC"/>
    <w:rsid w:val="001C3BDF"/>
    <w:rsid w:val="001C40C1"/>
    <w:rsid w:val="001C629D"/>
    <w:rsid w:val="001C63E2"/>
    <w:rsid w:val="001D0756"/>
    <w:rsid w:val="001D10DA"/>
    <w:rsid w:val="001D1B58"/>
    <w:rsid w:val="001D1FC7"/>
    <w:rsid w:val="001D228E"/>
    <w:rsid w:val="001D22A7"/>
    <w:rsid w:val="001D330E"/>
    <w:rsid w:val="001D37A7"/>
    <w:rsid w:val="001D4855"/>
    <w:rsid w:val="001D4DAE"/>
    <w:rsid w:val="001D5994"/>
    <w:rsid w:val="001D77D1"/>
    <w:rsid w:val="001D7D6C"/>
    <w:rsid w:val="001E0A32"/>
    <w:rsid w:val="001E24B9"/>
    <w:rsid w:val="001E27C4"/>
    <w:rsid w:val="001E289E"/>
    <w:rsid w:val="001E2939"/>
    <w:rsid w:val="001E303E"/>
    <w:rsid w:val="001E42E3"/>
    <w:rsid w:val="001E4BAD"/>
    <w:rsid w:val="001E4D67"/>
    <w:rsid w:val="001E5756"/>
    <w:rsid w:val="001E5D66"/>
    <w:rsid w:val="001E673B"/>
    <w:rsid w:val="001E6818"/>
    <w:rsid w:val="001E684C"/>
    <w:rsid w:val="001E6F45"/>
    <w:rsid w:val="001E730C"/>
    <w:rsid w:val="001E78F6"/>
    <w:rsid w:val="001E7CE3"/>
    <w:rsid w:val="001F01FD"/>
    <w:rsid w:val="001F0318"/>
    <w:rsid w:val="001F0826"/>
    <w:rsid w:val="001F08AE"/>
    <w:rsid w:val="001F15D3"/>
    <w:rsid w:val="001F28FD"/>
    <w:rsid w:val="001F4B83"/>
    <w:rsid w:val="001F60CA"/>
    <w:rsid w:val="002006CF"/>
    <w:rsid w:val="00201151"/>
    <w:rsid w:val="00201BF0"/>
    <w:rsid w:val="002021B3"/>
    <w:rsid w:val="002022FB"/>
    <w:rsid w:val="00202747"/>
    <w:rsid w:val="0020304F"/>
    <w:rsid w:val="00204F6E"/>
    <w:rsid w:val="00206BE1"/>
    <w:rsid w:val="00210E50"/>
    <w:rsid w:val="002118A4"/>
    <w:rsid w:val="0021442D"/>
    <w:rsid w:val="002153EE"/>
    <w:rsid w:val="00215E65"/>
    <w:rsid w:val="00216141"/>
    <w:rsid w:val="002161E9"/>
    <w:rsid w:val="00216780"/>
    <w:rsid w:val="00216960"/>
    <w:rsid w:val="0021716A"/>
    <w:rsid w:val="00217674"/>
    <w:rsid w:val="00217BF6"/>
    <w:rsid w:val="00220407"/>
    <w:rsid w:val="0022228E"/>
    <w:rsid w:val="0022245A"/>
    <w:rsid w:val="0022274E"/>
    <w:rsid w:val="00223205"/>
    <w:rsid w:val="00225EEE"/>
    <w:rsid w:val="00230E9B"/>
    <w:rsid w:val="002318A8"/>
    <w:rsid w:val="00231F44"/>
    <w:rsid w:val="00233CB1"/>
    <w:rsid w:val="00234435"/>
    <w:rsid w:val="002361F0"/>
    <w:rsid w:val="00236933"/>
    <w:rsid w:val="00237A24"/>
    <w:rsid w:val="00240356"/>
    <w:rsid w:val="00240432"/>
    <w:rsid w:val="0024059D"/>
    <w:rsid w:val="0024175C"/>
    <w:rsid w:val="00242267"/>
    <w:rsid w:val="00243A7F"/>
    <w:rsid w:val="00243DB4"/>
    <w:rsid w:val="00244005"/>
    <w:rsid w:val="0024571E"/>
    <w:rsid w:val="00245FFD"/>
    <w:rsid w:val="002468EB"/>
    <w:rsid w:val="00246E7F"/>
    <w:rsid w:val="00246ECC"/>
    <w:rsid w:val="0024792A"/>
    <w:rsid w:val="00250301"/>
    <w:rsid w:val="00250AAC"/>
    <w:rsid w:val="00250E4C"/>
    <w:rsid w:val="00250F4E"/>
    <w:rsid w:val="00251BD9"/>
    <w:rsid w:val="00251DBB"/>
    <w:rsid w:val="00253043"/>
    <w:rsid w:val="0025434B"/>
    <w:rsid w:val="00254BA7"/>
    <w:rsid w:val="00254FD8"/>
    <w:rsid w:val="0025566A"/>
    <w:rsid w:val="00257391"/>
    <w:rsid w:val="00257768"/>
    <w:rsid w:val="0025797B"/>
    <w:rsid w:val="00257FF0"/>
    <w:rsid w:val="00260FC7"/>
    <w:rsid w:val="00261242"/>
    <w:rsid w:val="0026191E"/>
    <w:rsid w:val="00262489"/>
    <w:rsid w:val="00262882"/>
    <w:rsid w:val="00263BF0"/>
    <w:rsid w:val="002643CE"/>
    <w:rsid w:val="00264FB8"/>
    <w:rsid w:val="00265E05"/>
    <w:rsid w:val="002660F5"/>
    <w:rsid w:val="002672D8"/>
    <w:rsid w:val="002677E0"/>
    <w:rsid w:val="00271736"/>
    <w:rsid w:val="00272039"/>
    <w:rsid w:val="002720EF"/>
    <w:rsid w:val="002724A8"/>
    <w:rsid w:val="00273174"/>
    <w:rsid w:val="00273D42"/>
    <w:rsid w:val="00274673"/>
    <w:rsid w:val="00274819"/>
    <w:rsid w:val="00274B9E"/>
    <w:rsid w:val="00275B6C"/>
    <w:rsid w:val="00275EE3"/>
    <w:rsid w:val="002765E0"/>
    <w:rsid w:val="00276855"/>
    <w:rsid w:val="00277279"/>
    <w:rsid w:val="00277B36"/>
    <w:rsid w:val="00281F6D"/>
    <w:rsid w:val="0028386E"/>
    <w:rsid w:val="00284099"/>
    <w:rsid w:val="002841B2"/>
    <w:rsid w:val="0028534A"/>
    <w:rsid w:val="002856A2"/>
    <w:rsid w:val="0028668B"/>
    <w:rsid w:val="00286C96"/>
    <w:rsid w:val="0028794E"/>
    <w:rsid w:val="0028798A"/>
    <w:rsid w:val="00291AFA"/>
    <w:rsid w:val="00292D11"/>
    <w:rsid w:val="00293703"/>
    <w:rsid w:val="00293746"/>
    <w:rsid w:val="00295C43"/>
    <w:rsid w:val="0029625F"/>
    <w:rsid w:val="002979B1"/>
    <w:rsid w:val="002A0313"/>
    <w:rsid w:val="002A0F8A"/>
    <w:rsid w:val="002A2777"/>
    <w:rsid w:val="002A4055"/>
    <w:rsid w:val="002A4B02"/>
    <w:rsid w:val="002A5CD2"/>
    <w:rsid w:val="002A6099"/>
    <w:rsid w:val="002A630D"/>
    <w:rsid w:val="002A74E8"/>
    <w:rsid w:val="002A77BF"/>
    <w:rsid w:val="002A7BEC"/>
    <w:rsid w:val="002B0DFA"/>
    <w:rsid w:val="002B1417"/>
    <w:rsid w:val="002B2DC5"/>
    <w:rsid w:val="002B3B00"/>
    <w:rsid w:val="002B4BB1"/>
    <w:rsid w:val="002B4DE4"/>
    <w:rsid w:val="002B67DB"/>
    <w:rsid w:val="002B6E7E"/>
    <w:rsid w:val="002B7281"/>
    <w:rsid w:val="002B7527"/>
    <w:rsid w:val="002C08C5"/>
    <w:rsid w:val="002C144A"/>
    <w:rsid w:val="002C1473"/>
    <w:rsid w:val="002C224E"/>
    <w:rsid w:val="002C2CC6"/>
    <w:rsid w:val="002C3B5A"/>
    <w:rsid w:val="002C464F"/>
    <w:rsid w:val="002C7047"/>
    <w:rsid w:val="002C7899"/>
    <w:rsid w:val="002D06C2"/>
    <w:rsid w:val="002D19D0"/>
    <w:rsid w:val="002D2AA0"/>
    <w:rsid w:val="002D343A"/>
    <w:rsid w:val="002D44C7"/>
    <w:rsid w:val="002D50C2"/>
    <w:rsid w:val="002D7E3F"/>
    <w:rsid w:val="002E052A"/>
    <w:rsid w:val="002E068A"/>
    <w:rsid w:val="002E4E9F"/>
    <w:rsid w:val="002E533E"/>
    <w:rsid w:val="002E56B5"/>
    <w:rsid w:val="002E6D1D"/>
    <w:rsid w:val="002F11B8"/>
    <w:rsid w:val="002F1607"/>
    <w:rsid w:val="002F3BDE"/>
    <w:rsid w:val="002F59B6"/>
    <w:rsid w:val="002F5F2A"/>
    <w:rsid w:val="002F62B7"/>
    <w:rsid w:val="002F67E7"/>
    <w:rsid w:val="00301002"/>
    <w:rsid w:val="00302E0E"/>
    <w:rsid w:val="0030314A"/>
    <w:rsid w:val="003035A6"/>
    <w:rsid w:val="003070F1"/>
    <w:rsid w:val="003071AA"/>
    <w:rsid w:val="00307454"/>
    <w:rsid w:val="00307484"/>
    <w:rsid w:val="00307C41"/>
    <w:rsid w:val="00312024"/>
    <w:rsid w:val="00312197"/>
    <w:rsid w:val="0031240A"/>
    <w:rsid w:val="003135D3"/>
    <w:rsid w:val="0031389B"/>
    <w:rsid w:val="00315A5B"/>
    <w:rsid w:val="00315F9B"/>
    <w:rsid w:val="003163D0"/>
    <w:rsid w:val="00316C6A"/>
    <w:rsid w:val="003200DC"/>
    <w:rsid w:val="0032040E"/>
    <w:rsid w:val="003212B6"/>
    <w:rsid w:val="00321A9B"/>
    <w:rsid w:val="00321F30"/>
    <w:rsid w:val="00322325"/>
    <w:rsid w:val="00322E25"/>
    <w:rsid w:val="00325767"/>
    <w:rsid w:val="0032579E"/>
    <w:rsid w:val="003269B0"/>
    <w:rsid w:val="00326BA2"/>
    <w:rsid w:val="00330AF2"/>
    <w:rsid w:val="00332DBF"/>
    <w:rsid w:val="00333517"/>
    <w:rsid w:val="00333667"/>
    <w:rsid w:val="00334716"/>
    <w:rsid w:val="00334BF4"/>
    <w:rsid w:val="00335776"/>
    <w:rsid w:val="00335EA3"/>
    <w:rsid w:val="00340476"/>
    <w:rsid w:val="003405BC"/>
    <w:rsid w:val="00341178"/>
    <w:rsid w:val="0034159A"/>
    <w:rsid w:val="00341E98"/>
    <w:rsid w:val="00342194"/>
    <w:rsid w:val="003425FA"/>
    <w:rsid w:val="0034473D"/>
    <w:rsid w:val="00345EF8"/>
    <w:rsid w:val="00347C45"/>
    <w:rsid w:val="00351078"/>
    <w:rsid w:val="00352D71"/>
    <w:rsid w:val="00352E4A"/>
    <w:rsid w:val="00354210"/>
    <w:rsid w:val="00354300"/>
    <w:rsid w:val="00355855"/>
    <w:rsid w:val="00355993"/>
    <w:rsid w:val="00356865"/>
    <w:rsid w:val="00356D51"/>
    <w:rsid w:val="00361B05"/>
    <w:rsid w:val="00364EB1"/>
    <w:rsid w:val="003653D8"/>
    <w:rsid w:val="003661D2"/>
    <w:rsid w:val="003663C6"/>
    <w:rsid w:val="00366610"/>
    <w:rsid w:val="0036734B"/>
    <w:rsid w:val="003678FB"/>
    <w:rsid w:val="003704B7"/>
    <w:rsid w:val="00370E68"/>
    <w:rsid w:val="0037357D"/>
    <w:rsid w:val="00374483"/>
    <w:rsid w:val="00374852"/>
    <w:rsid w:val="00381E3B"/>
    <w:rsid w:val="0038404B"/>
    <w:rsid w:val="0038459E"/>
    <w:rsid w:val="00384772"/>
    <w:rsid w:val="003849C0"/>
    <w:rsid w:val="00385BFB"/>
    <w:rsid w:val="00385E97"/>
    <w:rsid w:val="00386272"/>
    <w:rsid w:val="00386BF7"/>
    <w:rsid w:val="0038713F"/>
    <w:rsid w:val="003904F0"/>
    <w:rsid w:val="00390763"/>
    <w:rsid w:val="0039122C"/>
    <w:rsid w:val="003920DA"/>
    <w:rsid w:val="00392352"/>
    <w:rsid w:val="00393430"/>
    <w:rsid w:val="00393FAE"/>
    <w:rsid w:val="0039410B"/>
    <w:rsid w:val="00394B45"/>
    <w:rsid w:val="00395B74"/>
    <w:rsid w:val="003973FE"/>
    <w:rsid w:val="00397C0C"/>
    <w:rsid w:val="003A2293"/>
    <w:rsid w:val="003A4EBA"/>
    <w:rsid w:val="003A6983"/>
    <w:rsid w:val="003A7455"/>
    <w:rsid w:val="003B2100"/>
    <w:rsid w:val="003B2518"/>
    <w:rsid w:val="003B31DF"/>
    <w:rsid w:val="003B54D5"/>
    <w:rsid w:val="003B65DF"/>
    <w:rsid w:val="003B6963"/>
    <w:rsid w:val="003B780D"/>
    <w:rsid w:val="003C07FA"/>
    <w:rsid w:val="003C12FA"/>
    <w:rsid w:val="003C160D"/>
    <w:rsid w:val="003C3C05"/>
    <w:rsid w:val="003C4AB0"/>
    <w:rsid w:val="003C5ECD"/>
    <w:rsid w:val="003C78E8"/>
    <w:rsid w:val="003C7E80"/>
    <w:rsid w:val="003C7F08"/>
    <w:rsid w:val="003D1039"/>
    <w:rsid w:val="003D18E1"/>
    <w:rsid w:val="003D1E32"/>
    <w:rsid w:val="003D36E7"/>
    <w:rsid w:val="003D3A4E"/>
    <w:rsid w:val="003D3F18"/>
    <w:rsid w:val="003D45BD"/>
    <w:rsid w:val="003D4FAA"/>
    <w:rsid w:val="003D68AE"/>
    <w:rsid w:val="003D69F7"/>
    <w:rsid w:val="003D7486"/>
    <w:rsid w:val="003D755D"/>
    <w:rsid w:val="003D7BF1"/>
    <w:rsid w:val="003E2391"/>
    <w:rsid w:val="003E2949"/>
    <w:rsid w:val="003E307D"/>
    <w:rsid w:val="003E3244"/>
    <w:rsid w:val="003E3605"/>
    <w:rsid w:val="003E37CB"/>
    <w:rsid w:val="003E3EC8"/>
    <w:rsid w:val="003E3F4B"/>
    <w:rsid w:val="003E40E9"/>
    <w:rsid w:val="003E4F1D"/>
    <w:rsid w:val="003E54FB"/>
    <w:rsid w:val="003E5841"/>
    <w:rsid w:val="003E62ED"/>
    <w:rsid w:val="003E637B"/>
    <w:rsid w:val="003E7460"/>
    <w:rsid w:val="003E75BB"/>
    <w:rsid w:val="003E7DE3"/>
    <w:rsid w:val="003F081B"/>
    <w:rsid w:val="003F2E66"/>
    <w:rsid w:val="003F3418"/>
    <w:rsid w:val="003F5B81"/>
    <w:rsid w:val="003F5F2A"/>
    <w:rsid w:val="003F728D"/>
    <w:rsid w:val="003F7361"/>
    <w:rsid w:val="003F776D"/>
    <w:rsid w:val="004008AB"/>
    <w:rsid w:val="00400D44"/>
    <w:rsid w:val="00400F01"/>
    <w:rsid w:val="00401810"/>
    <w:rsid w:val="00401924"/>
    <w:rsid w:val="00401ABB"/>
    <w:rsid w:val="00402CC4"/>
    <w:rsid w:val="00404E02"/>
    <w:rsid w:val="00405187"/>
    <w:rsid w:val="00406731"/>
    <w:rsid w:val="00407A3D"/>
    <w:rsid w:val="004108E4"/>
    <w:rsid w:val="00410D9A"/>
    <w:rsid w:val="00411498"/>
    <w:rsid w:val="004120C9"/>
    <w:rsid w:val="00413399"/>
    <w:rsid w:val="00413FD9"/>
    <w:rsid w:val="00415B12"/>
    <w:rsid w:val="00415D14"/>
    <w:rsid w:val="004217E4"/>
    <w:rsid w:val="00422833"/>
    <w:rsid w:val="00424BA4"/>
    <w:rsid w:val="00424F92"/>
    <w:rsid w:val="00425559"/>
    <w:rsid w:val="00427F9C"/>
    <w:rsid w:val="0043269F"/>
    <w:rsid w:val="00433139"/>
    <w:rsid w:val="004331E0"/>
    <w:rsid w:val="00434785"/>
    <w:rsid w:val="00435B32"/>
    <w:rsid w:val="00437BE1"/>
    <w:rsid w:val="00437D80"/>
    <w:rsid w:val="00442338"/>
    <w:rsid w:val="00442FF3"/>
    <w:rsid w:val="00443895"/>
    <w:rsid w:val="004458AC"/>
    <w:rsid w:val="004474DF"/>
    <w:rsid w:val="00447553"/>
    <w:rsid w:val="004502B3"/>
    <w:rsid w:val="00450E4F"/>
    <w:rsid w:val="004515C8"/>
    <w:rsid w:val="00453505"/>
    <w:rsid w:val="0045548A"/>
    <w:rsid w:val="004559F8"/>
    <w:rsid w:val="00460559"/>
    <w:rsid w:val="00461294"/>
    <w:rsid w:val="00464001"/>
    <w:rsid w:val="00464B55"/>
    <w:rsid w:val="004657DA"/>
    <w:rsid w:val="00465BB4"/>
    <w:rsid w:val="0046741C"/>
    <w:rsid w:val="00467697"/>
    <w:rsid w:val="00470487"/>
    <w:rsid w:val="00470F36"/>
    <w:rsid w:val="00471180"/>
    <w:rsid w:val="0047228F"/>
    <w:rsid w:val="00472FA1"/>
    <w:rsid w:val="0047544E"/>
    <w:rsid w:val="00476893"/>
    <w:rsid w:val="004803B6"/>
    <w:rsid w:val="00480983"/>
    <w:rsid w:val="00480AB7"/>
    <w:rsid w:val="00482AA4"/>
    <w:rsid w:val="0048308F"/>
    <w:rsid w:val="00483A3C"/>
    <w:rsid w:val="00483D75"/>
    <w:rsid w:val="00484178"/>
    <w:rsid w:val="0048436D"/>
    <w:rsid w:val="00484C6F"/>
    <w:rsid w:val="004865B7"/>
    <w:rsid w:val="004906DF"/>
    <w:rsid w:val="004915C3"/>
    <w:rsid w:val="00491996"/>
    <w:rsid w:val="004928D6"/>
    <w:rsid w:val="0049346E"/>
    <w:rsid w:val="00493E75"/>
    <w:rsid w:val="004944EE"/>
    <w:rsid w:val="004952B6"/>
    <w:rsid w:val="00495456"/>
    <w:rsid w:val="00495510"/>
    <w:rsid w:val="00496581"/>
    <w:rsid w:val="00497503"/>
    <w:rsid w:val="00497D0A"/>
    <w:rsid w:val="00497E49"/>
    <w:rsid w:val="004A01A0"/>
    <w:rsid w:val="004A0C81"/>
    <w:rsid w:val="004A195B"/>
    <w:rsid w:val="004A1AC9"/>
    <w:rsid w:val="004A2852"/>
    <w:rsid w:val="004A28EA"/>
    <w:rsid w:val="004A338B"/>
    <w:rsid w:val="004A346A"/>
    <w:rsid w:val="004A3BA9"/>
    <w:rsid w:val="004A3FCE"/>
    <w:rsid w:val="004A6B8F"/>
    <w:rsid w:val="004A711E"/>
    <w:rsid w:val="004A71B8"/>
    <w:rsid w:val="004B0078"/>
    <w:rsid w:val="004B1B00"/>
    <w:rsid w:val="004B1EBB"/>
    <w:rsid w:val="004B2825"/>
    <w:rsid w:val="004B2C82"/>
    <w:rsid w:val="004B2DF6"/>
    <w:rsid w:val="004B320F"/>
    <w:rsid w:val="004B3B33"/>
    <w:rsid w:val="004B4386"/>
    <w:rsid w:val="004B506B"/>
    <w:rsid w:val="004B60F3"/>
    <w:rsid w:val="004B7DCC"/>
    <w:rsid w:val="004C1794"/>
    <w:rsid w:val="004C2218"/>
    <w:rsid w:val="004C3290"/>
    <w:rsid w:val="004C5A65"/>
    <w:rsid w:val="004C729A"/>
    <w:rsid w:val="004C7F4C"/>
    <w:rsid w:val="004D095B"/>
    <w:rsid w:val="004D0BDE"/>
    <w:rsid w:val="004D0CCB"/>
    <w:rsid w:val="004D1A26"/>
    <w:rsid w:val="004D1D6D"/>
    <w:rsid w:val="004D2EE7"/>
    <w:rsid w:val="004D3D1E"/>
    <w:rsid w:val="004D3EAE"/>
    <w:rsid w:val="004D438D"/>
    <w:rsid w:val="004D5071"/>
    <w:rsid w:val="004D5115"/>
    <w:rsid w:val="004D64A4"/>
    <w:rsid w:val="004E151D"/>
    <w:rsid w:val="004E1621"/>
    <w:rsid w:val="004E2BA0"/>
    <w:rsid w:val="004E3B52"/>
    <w:rsid w:val="004E4E12"/>
    <w:rsid w:val="004E5613"/>
    <w:rsid w:val="004E66A7"/>
    <w:rsid w:val="004E7771"/>
    <w:rsid w:val="004F03CA"/>
    <w:rsid w:val="004F054A"/>
    <w:rsid w:val="004F073C"/>
    <w:rsid w:val="004F308D"/>
    <w:rsid w:val="004F3604"/>
    <w:rsid w:val="004F3C14"/>
    <w:rsid w:val="004F3FA2"/>
    <w:rsid w:val="004F4383"/>
    <w:rsid w:val="004F5E5E"/>
    <w:rsid w:val="004F75A9"/>
    <w:rsid w:val="004F7B46"/>
    <w:rsid w:val="00500B7D"/>
    <w:rsid w:val="00500D15"/>
    <w:rsid w:val="00501866"/>
    <w:rsid w:val="00501BF9"/>
    <w:rsid w:val="00502DB1"/>
    <w:rsid w:val="00503A57"/>
    <w:rsid w:val="0050486F"/>
    <w:rsid w:val="005048FB"/>
    <w:rsid w:val="00505049"/>
    <w:rsid w:val="00507589"/>
    <w:rsid w:val="0051074A"/>
    <w:rsid w:val="005109C8"/>
    <w:rsid w:val="00510CFB"/>
    <w:rsid w:val="0051209E"/>
    <w:rsid w:val="005128EA"/>
    <w:rsid w:val="005132F0"/>
    <w:rsid w:val="0051374D"/>
    <w:rsid w:val="0051646D"/>
    <w:rsid w:val="00516905"/>
    <w:rsid w:val="00520FAB"/>
    <w:rsid w:val="00522EE7"/>
    <w:rsid w:val="00523821"/>
    <w:rsid w:val="0052442C"/>
    <w:rsid w:val="00524C5C"/>
    <w:rsid w:val="00524E36"/>
    <w:rsid w:val="00527355"/>
    <w:rsid w:val="00527F64"/>
    <w:rsid w:val="00530310"/>
    <w:rsid w:val="0053062F"/>
    <w:rsid w:val="005320C6"/>
    <w:rsid w:val="00532D22"/>
    <w:rsid w:val="0053484A"/>
    <w:rsid w:val="005352C0"/>
    <w:rsid w:val="0053691F"/>
    <w:rsid w:val="005379DE"/>
    <w:rsid w:val="00537D2A"/>
    <w:rsid w:val="005407CF"/>
    <w:rsid w:val="00540F6F"/>
    <w:rsid w:val="00541AD9"/>
    <w:rsid w:val="0054425A"/>
    <w:rsid w:val="0054671D"/>
    <w:rsid w:val="0054680B"/>
    <w:rsid w:val="00550373"/>
    <w:rsid w:val="005503F3"/>
    <w:rsid w:val="00550E55"/>
    <w:rsid w:val="00550E5E"/>
    <w:rsid w:val="00551DBA"/>
    <w:rsid w:val="00552912"/>
    <w:rsid w:val="005531D8"/>
    <w:rsid w:val="00557BE7"/>
    <w:rsid w:val="00561108"/>
    <w:rsid w:val="00561C36"/>
    <w:rsid w:val="00564173"/>
    <w:rsid w:val="005643B9"/>
    <w:rsid w:val="00565072"/>
    <w:rsid w:val="0056540B"/>
    <w:rsid w:val="005655CE"/>
    <w:rsid w:val="00565910"/>
    <w:rsid w:val="0056741D"/>
    <w:rsid w:val="00570F5C"/>
    <w:rsid w:val="005713D5"/>
    <w:rsid w:val="00573BAE"/>
    <w:rsid w:val="00573CC1"/>
    <w:rsid w:val="005741DF"/>
    <w:rsid w:val="00574C40"/>
    <w:rsid w:val="00574FEB"/>
    <w:rsid w:val="0057612F"/>
    <w:rsid w:val="00577A76"/>
    <w:rsid w:val="00577D84"/>
    <w:rsid w:val="0058048B"/>
    <w:rsid w:val="00580FCE"/>
    <w:rsid w:val="0058105F"/>
    <w:rsid w:val="00581D4D"/>
    <w:rsid w:val="005822B8"/>
    <w:rsid w:val="00582901"/>
    <w:rsid w:val="00582C8A"/>
    <w:rsid w:val="005830F5"/>
    <w:rsid w:val="00583325"/>
    <w:rsid w:val="00583469"/>
    <w:rsid w:val="0058386D"/>
    <w:rsid w:val="00584165"/>
    <w:rsid w:val="00585945"/>
    <w:rsid w:val="00585EAB"/>
    <w:rsid w:val="00586D1C"/>
    <w:rsid w:val="0058778E"/>
    <w:rsid w:val="00587DCF"/>
    <w:rsid w:val="00587E63"/>
    <w:rsid w:val="005939EA"/>
    <w:rsid w:val="00594CFA"/>
    <w:rsid w:val="00595142"/>
    <w:rsid w:val="00595CC0"/>
    <w:rsid w:val="00595FF8"/>
    <w:rsid w:val="005966CE"/>
    <w:rsid w:val="00596E44"/>
    <w:rsid w:val="00596EB1"/>
    <w:rsid w:val="005978B0"/>
    <w:rsid w:val="00597FB8"/>
    <w:rsid w:val="005A0956"/>
    <w:rsid w:val="005A3CFE"/>
    <w:rsid w:val="005A4435"/>
    <w:rsid w:val="005A4DF4"/>
    <w:rsid w:val="005A5625"/>
    <w:rsid w:val="005A5AAF"/>
    <w:rsid w:val="005A5D83"/>
    <w:rsid w:val="005A6F58"/>
    <w:rsid w:val="005B04B7"/>
    <w:rsid w:val="005B1009"/>
    <w:rsid w:val="005B1A5F"/>
    <w:rsid w:val="005B25F5"/>
    <w:rsid w:val="005B4791"/>
    <w:rsid w:val="005B4BE4"/>
    <w:rsid w:val="005B4C02"/>
    <w:rsid w:val="005B4CD7"/>
    <w:rsid w:val="005B5944"/>
    <w:rsid w:val="005B5DAD"/>
    <w:rsid w:val="005B7142"/>
    <w:rsid w:val="005C2AD1"/>
    <w:rsid w:val="005C342F"/>
    <w:rsid w:val="005C41D1"/>
    <w:rsid w:val="005C50ED"/>
    <w:rsid w:val="005C62F5"/>
    <w:rsid w:val="005C7367"/>
    <w:rsid w:val="005D09BC"/>
    <w:rsid w:val="005D0C38"/>
    <w:rsid w:val="005D117B"/>
    <w:rsid w:val="005D182B"/>
    <w:rsid w:val="005D2A09"/>
    <w:rsid w:val="005D31B5"/>
    <w:rsid w:val="005D3393"/>
    <w:rsid w:val="005D39B0"/>
    <w:rsid w:val="005D3FE4"/>
    <w:rsid w:val="005D495D"/>
    <w:rsid w:val="005D49DA"/>
    <w:rsid w:val="005D4E32"/>
    <w:rsid w:val="005D575F"/>
    <w:rsid w:val="005D739B"/>
    <w:rsid w:val="005D759A"/>
    <w:rsid w:val="005E100B"/>
    <w:rsid w:val="005E18DC"/>
    <w:rsid w:val="005E1AD1"/>
    <w:rsid w:val="005E3F08"/>
    <w:rsid w:val="005E4E51"/>
    <w:rsid w:val="005E6232"/>
    <w:rsid w:val="005E7307"/>
    <w:rsid w:val="005F0283"/>
    <w:rsid w:val="005F0EC1"/>
    <w:rsid w:val="005F14EF"/>
    <w:rsid w:val="005F1D81"/>
    <w:rsid w:val="005F2D9C"/>
    <w:rsid w:val="005F48A8"/>
    <w:rsid w:val="005F599F"/>
    <w:rsid w:val="005F5A0A"/>
    <w:rsid w:val="005F6889"/>
    <w:rsid w:val="005F6945"/>
    <w:rsid w:val="005F724A"/>
    <w:rsid w:val="0060198F"/>
    <w:rsid w:val="00603F0D"/>
    <w:rsid w:val="00604682"/>
    <w:rsid w:val="00610B02"/>
    <w:rsid w:val="00611F56"/>
    <w:rsid w:val="00612D5B"/>
    <w:rsid w:val="00612DBB"/>
    <w:rsid w:val="00613BF4"/>
    <w:rsid w:val="00613F60"/>
    <w:rsid w:val="00614238"/>
    <w:rsid w:val="0061567F"/>
    <w:rsid w:val="006209BB"/>
    <w:rsid w:val="00622388"/>
    <w:rsid w:val="00622452"/>
    <w:rsid w:val="00622600"/>
    <w:rsid w:val="00622A2F"/>
    <w:rsid w:val="0062387C"/>
    <w:rsid w:val="0062569D"/>
    <w:rsid w:val="0062594F"/>
    <w:rsid w:val="0062638C"/>
    <w:rsid w:val="006266CC"/>
    <w:rsid w:val="00627A6C"/>
    <w:rsid w:val="006300B1"/>
    <w:rsid w:val="0063279F"/>
    <w:rsid w:val="00635394"/>
    <w:rsid w:val="00635E74"/>
    <w:rsid w:val="00637CC6"/>
    <w:rsid w:val="00640A00"/>
    <w:rsid w:val="00641DE4"/>
    <w:rsid w:val="0064214A"/>
    <w:rsid w:val="0064260C"/>
    <w:rsid w:val="00643D17"/>
    <w:rsid w:val="00645F40"/>
    <w:rsid w:val="006460EC"/>
    <w:rsid w:val="00647E9A"/>
    <w:rsid w:val="006501BF"/>
    <w:rsid w:val="00650690"/>
    <w:rsid w:val="00650B42"/>
    <w:rsid w:val="00651634"/>
    <w:rsid w:val="00651A94"/>
    <w:rsid w:val="00652C36"/>
    <w:rsid w:val="00653397"/>
    <w:rsid w:val="00653B73"/>
    <w:rsid w:val="006548A7"/>
    <w:rsid w:val="00655FC8"/>
    <w:rsid w:val="00656D27"/>
    <w:rsid w:val="00656E52"/>
    <w:rsid w:val="00656E74"/>
    <w:rsid w:val="00657521"/>
    <w:rsid w:val="00657988"/>
    <w:rsid w:val="00660DBD"/>
    <w:rsid w:val="0066188F"/>
    <w:rsid w:val="006624E1"/>
    <w:rsid w:val="00662538"/>
    <w:rsid w:val="006639D5"/>
    <w:rsid w:val="00664B0B"/>
    <w:rsid w:val="006660CD"/>
    <w:rsid w:val="00666C78"/>
    <w:rsid w:val="0066769A"/>
    <w:rsid w:val="00667E41"/>
    <w:rsid w:val="00670324"/>
    <w:rsid w:val="006708B4"/>
    <w:rsid w:val="00671123"/>
    <w:rsid w:val="006715BE"/>
    <w:rsid w:val="00672984"/>
    <w:rsid w:val="00672BB9"/>
    <w:rsid w:val="00673576"/>
    <w:rsid w:val="006736ED"/>
    <w:rsid w:val="00674065"/>
    <w:rsid w:val="006752B7"/>
    <w:rsid w:val="00675976"/>
    <w:rsid w:val="00677534"/>
    <w:rsid w:val="00677DE1"/>
    <w:rsid w:val="006807E6"/>
    <w:rsid w:val="00680B31"/>
    <w:rsid w:val="00681CA0"/>
    <w:rsid w:val="006834BE"/>
    <w:rsid w:val="00683911"/>
    <w:rsid w:val="00684AF0"/>
    <w:rsid w:val="00685417"/>
    <w:rsid w:val="006876D1"/>
    <w:rsid w:val="00687DA2"/>
    <w:rsid w:val="006900BF"/>
    <w:rsid w:val="00691824"/>
    <w:rsid w:val="00691991"/>
    <w:rsid w:val="006929A3"/>
    <w:rsid w:val="00692F40"/>
    <w:rsid w:val="00694B6D"/>
    <w:rsid w:val="00695C50"/>
    <w:rsid w:val="00696616"/>
    <w:rsid w:val="0069772D"/>
    <w:rsid w:val="00697DB1"/>
    <w:rsid w:val="006A0432"/>
    <w:rsid w:val="006A1539"/>
    <w:rsid w:val="006A2047"/>
    <w:rsid w:val="006A2128"/>
    <w:rsid w:val="006A33EE"/>
    <w:rsid w:val="006A42B2"/>
    <w:rsid w:val="006A4396"/>
    <w:rsid w:val="006B01B0"/>
    <w:rsid w:val="006B1959"/>
    <w:rsid w:val="006B3480"/>
    <w:rsid w:val="006B3B85"/>
    <w:rsid w:val="006B46EF"/>
    <w:rsid w:val="006B51FA"/>
    <w:rsid w:val="006B56E5"/>
    <w:rsid w:val="006B57E7"/>
    <w:rsid w:val="006B5C04"/>
    <w:rsid w:val="006C03D0"/>
    <w:rsid w:val="006C1D7E"/>
    <w:rsid w:val="006C2194"/>
    <w:rsid w:val="006C29F0"/>
    <w:rsid w:val="006C2A71"/>
    <w:rsid w:val="006C2F67"/>
    <w:rsid w:val="006C59C7"/>
    <w:rsid w:val="006C5DD9"/>
    <w:rsid w:val="006C7C1C"/>
    <w:rsid w:val="006D0E86"/>
    <w:rsid w:val="006D0ED1"/>
    <w:rsid w:val="006D1125"/>
    <w:rsid w:val="006D1787"/>
    <w:rsid w:val="006D188A"/>
    <w:rsid w:val="006D2817"/>
    <w:rsid w:val="006D3076"/>
    <w:rsid w:val="006D30DB"/>
    <w:rsid w:val="006D3472"/>
    <w:rsid w:val="006D35F6"/>
    <w:rsid w:val="006D4C34"/>
    <w:rsid w:val="006D614A"/>
    <w:rsid w:val="006D6C97"/>
    <w:rsid w:val="006D6F6E"/>
    <w:rsid w:val="006D7348"/>
    <w:rsid w:val="006D7770"/>
    <w:rsid w:val="006E0E04"/>
    <w:rsid w:val="006E14AF"/>
    <w:rsid w:val="006E221E"/>
    <w:rsid w:val="006E30DA"/>
    <w:rsid w:val="006E5C6E"/>
    <w:rsid w:val="006E69A7"/>
    <w:rsid w:val="006E6C12"/>
    <w:rsid w:val="006F4C8D"/>
    <w:rsid w:val="006F5ACA"/>
    <w:rsid w:val="006F5B48"/>
    <w:rsid w:val="006F647E"/>
    <w:rsid w:val="007007B5"/>
    <w:rsid w:val="00700B06"/>
    <w:rsid w:val="00701584"/>
    <w:rsid w:val="007015DE"/>
    <w:rsid w:val="007018D7"/>
    <w:rsid w:val="00705917"/>
    <w:rsid w:val="00705AE1"/>
    <w:rsid w:val="00706049"/>
    <w:rsid w:val="00706B9C"/>
    <w:rsid w:val="00707BA2"/>
    <w:rsid w:val="00710123"/>
    <w:rsid w:val="007117F8"/>
    <w:rsid w:val="00712240"/>
    <w:rsid w:val="00712818"/>
    <w:rsid w:val="0071368E"/>
    <w:rsid w:val="0071493F"/>
    <w:rsid w:val="0071558D"/>
    <w:rsid w:val="007158CE"/>
    <w:rsid w:val="00717A0A"/>
    <w:rsid w:val="007205EA"/>
    <w:rsid w:val="00721826"/>
    <w:rsid w:val="007224C6"/>
    <w:rsid w:val="007226C1"/>
    <w:rsid w:val="00722919"/>
    <w:rsid w:val="0072352B"/>
    <w:rsid w:val="007247CB"/>
    <w:rsid w:val="00724BFF"/>
    <w:rsid w:val="0072658D"/>
    <w:rsid w:val="00727A68"/>
    <w:rsid w:val="00727A7C"/>
    <w:rsid w:val="00730638"/>
    <w:rsid w:val="00733EE2"/>
    <w:rsid w:val="007348F6"/>
    <w:rsid w:val="00734CB3"/>
    <w:rsid w:val="007363CA"/>
    <w:rsid w:val="00736CFB"/>
    <w:rsid w:val="00741466"/>
    <w:rsid w:val="00741AC5"/>
    <w:rsid w:val="00741B0B"/>
    <w:rsid w:val="0074269C"/>
    <w:rsid w:val="00743C15"/>
    <w:rsid w:val="007455BD"/>
    <w:rsid w:val="00745FCF"/>
    <w:rsid w:val="007462EE"/>
    <w:rsid w:val="007465EE"/>
    <w:rsid w:val="00746B6A"/>
    <w:rsid w:val="007472E7"/>
    <w:rsid w:val="00750691"/>
    <w:rsid w:val="007516AB"/>
    <w:rsid w:val="007524D5"/>
    <w:rsid w:val="00752E43"/>
    <w:rsid w:val="007536BF"/>
    <w:rsid w:val="00753AE4"/>
    <w:rsid w:val="00754831"/>
    <w:rsid w:val="00755343"/>
    <w:rsid w:val="00755BD9"/>
    <w:rsid w:val="00756303"/>
    <w:rsid w:val="007566EE"/>
    <w:rsid w:val="00757367"/>
    <w:rsid w:val="00757AA8"/>
    <w:rsid w:val="00757ADF"/>
    <w:rsid w:val="00760A0B"/>
    <w:rsid w:val="00762572"/>
    <w:rsid w:val="0076344F"/>
    <w:rsid w:val="00763AB5"/>
    <w:rsid w:val="007645F7"/>
    <w:rsid w:val="00765483"/>
    <w:rsid w:val="00765916"/>
    <w:rsid w:val="00765B1D"/>
    <w:rsid w:val="007676FA"/>
    <w:rsid w:val="00767A13"/>
    <w:rsid w:val="007725A7"/>
    <w:rsid w:val="00773401"/>
    <w:rsid w:val="00773DD8"/>
    <w:rsid w:val="007740A2"/>
    <w:rsid w:val="007747E1"/>
    <w:rsid w:val="00776187"/>
    <w:rsid w:val="007763BC"/>
    <w:rsid w:val="007779E7"/>
    <w:rsid w:val="00777BE8"/>
    <w:rsid w:val="0078051D"/>
    <w:rsid w:val="00780822"/>
    <w:rsid w:val="00780AF7"/>
    <w:rsid w:val="00780C0E"/>
    <w:rsid w:val="00782B71"/>
    <w:rsid w:val="00782C79"/>
    <w:rsid w:val="007835F8"/>
    <w:rsid w:val="00783761"/>
    <w:rsid w:val="0078463B"/>
    <w:rsid w:val="00785C9B"/>
    <w:rsid w:val="00785FCA"/>
    <w:rsid w:val="00786BA0"/>
    <w:rsid w:val="0079202E"/>
    <w:rsid w:val="007921D1"/>
    <w:rsid w:val="00792A7B"/>
    <w:rsid w:val="00792F6F"/>
    <w:rsid w:val="00793650"/>
    <w:rsid w:val="007952A8"/>
    <w:rsid w:val="0079568C"/>
    <w:rsid w:val="00795DF7"/>
    <w:rsid w:val="007963FA"/>
    <w:rsid w:val="007969A3"/>
    <w:rsid w:val="00796F28"/>
    <w:rsid w:val="007A00FA"/>
    <w:rsid w:val="007A0EC5"/>
    <w:rsid w:val="007A1DA1"/>
    <w:rsid w:val="007A1F3C"/>
    <w:rsid w:val="007A251B"/>
    <w:rsid w:val="007A51EE"/>
    <w:rsid w:val="007A59AB"/>
    <w:rsid w:val="007A6DDF"/>
    <w:rsid w:val="007B0239"/>
    <w:rsid w:val="007B02A1"/>
    <w:rsid w:val="007B0D7A"/>
    <w:rsid w:val="007B159A"/>
    <w:rsid w:val="007B159C"/>
    <w:rsid w:val="007B3D5A"/>
    <w:rsid w:val="007B3FB8"/>
    <w:rsid w:val="007B5B4A"/>
    <w:rsid w:val="007B76C3"/>
    <w:rsid w:val="007B7A8A"/>
    <w:rsid w:val="007C01C2"/>
    <w:rsid w:val="007C05CE"/>
    <w:rsid w:val="007C06D5"/>
    <w:rsid w:val="007C10B7"/>
    <w:rsid w:val="007C1264"/>
    <w:rsid w:val="007C2F09"/>
    <w:rsid w:val="007C374C"/>
    <w:rsid w:val="007C3F4E"/>
    <w:rsid w:val="007C4705"/>
    <w:rsid w:val="007C4ABF"/>
    <w:rsid w:val="007C4C56"/>
    <w:rsid w:val="007C4DF4"/>
    <w:rsid w:val="007C6260"/>
    <w:rsid w:val="007C68C3"/>
    <w:rsid w:val="007C6FCE"/>
    <w:rsid w:val="007C7390"/>
    <w:rsid w:val="007D0ABA"/>
    <w:rsid w:val="007D140F"/>
    <w:rsid w:val="007D20A3"/>
    <w:rsid w:val="007D243C"/>
    <w:rsid w:val="007D2866"/>
    <w:rsid w:val="007D2B5A"/>
    <w:rsid w:val="007D5068"/>
    <w:rsid w:val="007D568F"/>
    <w:rsid w:val="007D5E21"/>
    <w:rsid w:val="007D6273"/>
    <w:rsid w:val="007D6E25"/>
    <w:rsid w:val="007D6E95"/>
    <w:rsid w:val="007D6F9A"/>
    <w:rsid w:val="007D760D"/>
    <w:rsid w:val="007D7DB3"/>
    <w:rsid w:val="007E3055"/>
    <w:rsid w:val="007E3E04"/>
    <w:rsid w:val="007E5BDD"/>
    <w:rsid w:val="007E5FF9"/>
    <w:rsid w:val="007E7061"/>
    <w:rsid w:val="007E7854"/>
    <w:rsid w:val="007E7989"/>
    <w:rsid w:val="007F03BB"/>
    <w:rsid w:val="007F0CC6"/>
    <w:rsid w:val="007F0EF7"/>
    <w:rsid w:val="007F2B9C"/>
    <w:rsid w:val="007F2FE0"/>
    <w:rsid w:val="007F37CE"/>
    <w:rsid w:val="007F39D5"/>
    <w:rsid w:val="007F4098"/>
    <w:rsid w:val="007F4A36"/>
    <w:rsid w:val="007F6D0F"/>
    <w:rsid w:val="007F7844"/>
    <w:rsid w:val="007F79EC"/>
    <w:rsid w:val="00800D0A"/>
    <w:rsid w:val="00801720"/>
    <w:rsid w:val="00802F3B"/>
    <w:rsid w:val="00803009"/>
    <w:rsid w:val="008038A7"/>
    <w:rsid w:val="0080437F"/>
    <w:rsid w:val="00804957"/>
    <w:rsid w:val="00804C17"/>
    <w:rsid w:val="008073BF"/>
    <w:rsid w:val="008078FB"/>
    <w:rsid w:val="00810906"/>
    <w:rsid w:val="00810DE7"/>
    <w:rsid w:val="00810DFB"/>
    <w:rsid w:val="008120B6"/>
    <w:rsid w:val="008126F0"/>
    <w:rsid w:val="0081356D"/>
    <w:rsid w:val="008135D6"/>
    <w:rsid w:val="00813C11"/>
    <w:rsid w:val="00814BA5"/>
    <w:rsid w:val="00816C33"/>
    <w:rsid w:val="00816CEB"/>
    <w:rsid w:val="00817C07"/>
    <w:rsid w:val="0082167B"/>
    <w:rsid w:val="008230CF"/>
    <w:rsid w:val="00826237"/>
    <w:rsid w:val="0082623B"/>
    <w:rsid w:val="0082664E"/>
    <w:rsid w:val="00831EFC"/>
    <w:rsid w:val="00832B8A"/>
    <w:rsid w:val="00832C54"/>
    <w:rsid w:val="00832FBC"/>
    <w:rsid w:val="0083308A"/>
    <w:rsid w:val="008330FC"/>
    <w:rsid w:val="0083320E"/>
    <w:rsid w:val="00835BA6"/>
    <w:rsid w:val="00836035"/>
    <w:rsid w:val="0083629D"/>
    <w:rsid w:val="00836895"/>
    <w:rsid w:val="00837125"/>
    <w:rsid w:val="00837411"/>
    <w:rsid w:val="00837F9F"/>
    <w:rsid w:val="00840007"/>
    <w:rsid w:val="00840390"/>
    <w:rsid w:val="00840BA2"/>
    <w:rsid w:val="00840BF8"/>
    <w:rsid w:val="00841379"/>
    <w:rsid w:val="00841F08"/>
    <w:rsid w:val="008423D7"/>
    <w:rsid w:val="00843140"/>
    <w:rsid w:val="00843AE6"/>
    <w:rsid w:val="008446E3"/>
    <w:rsid w:val="00845A32"/>
    <w:rsid w:val="00850555"/>
    <w:rsid w:val="00851147"/>
    <w:rsid w:val="008511B2"/>
    <w:rsid w:val="00851608"/>
    <w:rsid w:val="00853E2E"/>
    <w:rsid w:val="00855613"/>
    <w:rsid w:val="00856853"/>
    <w:rsid w:val="00857273"/>
    <w:rsid w:val="008578A0"/>
    <w:rsid w:val="00860ED8"/>
    <w:rsid w:val="00861A01"/>
    <w:rsid w:val="00861B37"/>
    <w:rsid w:val="00862347"/>
    <w:rsid w:val="00862844"/>
    <w:rsid w:val="00864544"/>
    <w:rsid w:val="00864847"/>
    <w:rsid w:val="0086487B"/>
    <w:rsid w:val="00864E22"/>
    <w:rsid w:val="00865A0C"/>
    <w:rsid w:val="00865C04"/>
    <w:rsid w:val="00865DDA"/>
    <w:rsid w:val="00866B34"/>
    <w:rsid w:val="00870369"/>
    <w:rsid w:val="00870407"/>
    <w:rsid w:val="00870992"/>
    <w:rsid w:val="00870B69"/>
    <w:rsid w:val="00870C3E"/>
    <w:rsid w:val="008732FE"/>
    <w:rsid w:val="0087454D"/>
    <w:rsid w:val="008756A8"/>
    <w:rsid w:val="008763B2"/>
    <w:rsid w:val="008763F9"/>
    <w:rsid w:val="00876F44"/>
    <w:rsid w:val="008806A4"/>
    <w:rsid w:val="00880B22"/>
    <w:rsid w:val="0088106C"/>
    <w:rsid w:val="00881492"/>
    <w:rsid w:val="00881BED"/>
    <w:rsid w:val="00881D34"/>
    <w:rsid w:val="00882B52"/>
    <w:rsid w:val="008831EE"/>
    <w:rsid w:val="008846AE"/>
    <w:rsid w:val="00884706"/>
    <w:rsid w:val="00884FD4"/>
    <w:rsid w:val="00885BE4"/>
    <w:rsid w:val="00886866"/>
    <w:rsid w:val="00887093"/>
    <w:rsid w:val="008931E3"/>
    <w:rsid w:val="00893C38"/>
    <w:rsid w:val="0089568B"/>
    <w:rsid w:val="00895E5B"/>
    <w:rsid w:val="0089711F"/>
    <w:rsid w:val="0089719D"/>
    <w:rsid w:val="00897506"/>
    <w:rsid w:val="008A01E0"/>
    <w:rsid w:val="008A03D2"/>
    <w:rsid w:val="008A18B0"/>
    <w:rsid w:val="008A3A5F"/>
    <w:rsid w:val="008A4378"/>
    <w:rsid w:val="008A6A73"/>
    <w:rsid w:val="008A73F4"/>
    <w:rsid w:val="008A7442"/>
    <w:rsid w:val="008A7C2B"/>
    <w:rsid w:val="008B001F"/>
    <w:rsid w:val="008B08FF"/>
    <w:rsid w:val="008B10F5"/>
    <w:rsid w:val="008B32C3"/>
    <w:rsid w:val="008B468E"/>
    <w:rsid w:val="008B4B96"/>
    <w:rsid w:val="008B4D3A"/>
    <w:rsid w:val="008B4D6D"/>
    <w:rsid w:val="008B54CB"/>
    <w:rsid w:val="008B6D81"/>
    <w:rsid w:val="008B72F2"/>
    <w:rsid w:val="008C01BF"/>
    <w:rsid w:val="008C268A"/>
    <w:rsid w:val="008C4C67"/>
    <w:rsid w:val="008C5EDA"/>
    <w:rsid w:val="008D1BCE"/>
    <w:rsid w:val="008D22DE"/>
    <w:rsid w:val="008D2A63"/>
    <w:rsid w:val="008D30CB"/>
    <w:rsid w:val="008D5022"/>
    <w:rsid w:val="008D544F"/>
    <w:rsid w:val="008D5BF6"/>
    <w:rsid w:val="008D62EC"/>
    <w:rsid w:val="008D755B"/>
    <w:rsid w:val="008E0B93"/>
    <w:rsid w:val="008E1B74"/>
    <w:rsid w:val="008E1F78"/>
    <w:rsid w:val="008E28FD"/>
    <w:rsid w:val="008E31CD"/>
    <w:rsid w:val="008E36F1"/>
    <w:rsid w:val="008E4B39"/>
    <w:rsid w:val="008E6EF4"/>
    <w:rsid w:val="008E7001"/>
    <w:rsid w:val="008E734E"/>
    <w:rsid w:val="008F048B"/>
    <w:rsid w:val="008F0593"/>
    <w:rsid w:val="008F0ABE"/>
    <w:rsid w:val="008F1B01"/>
    <w:rsid w:val="008F1D5D"/>
    <w:rsid w:val="008F2A0F"/>
    <w:rsid w:val="008F2EB0"/>
    <w:rsid w:val="008F3A56"/>
    <w:rsid w:val="008F4040"/>
    <w:rsid w:val="008F4211"/>
    <w:rsid w:val="008F74A0"/>
    <w:rsid w:val="008F76C3"/>
    <w:rsid w:val="008F77F0"/>
    <w:rsid w:val="009004B0"/>
    <w:rsid w:val="0090057F"/>
    <w:rsid w:val="00900B20"/>
    <w:rsid w:val="00902010"/>
    <w:rsid w:val="00902139"/>
    <w:rsid w:val="009024C5"/>
    <w:rsid w:val="00902A08"/>
    <w:rsid w:val="009040C4"/>
    <w:rsid w:val="00904CF3"/>
    <w:rsid w:val="00905F33"/>
    <w:rsid w:val="009065BE"/>
    <w:rsid w:val="0091000C"/>
    <w:rsid w:val="00910B64"/>
    <w:rsid w:val="00910BEF"/>
    <w:rsid w:val="00910DBB"/>
    <w:rsid w:val="00911273"/>
    <w:rsid w:val="00911760"/>
    <w:rsid w:val="009127C3"/>
    <w:rsid w:val="00913924"/>
    <w:rsid w:val="00914C3F"/>
    <w:rsid w:val="00915050"/>
    <w:rsid w:val="0091798D"/>
    <w:rsid w:val="009200EA"/>
    <w:rsid w:val="00921930"/>
    <w:rsid w:val="00923154"/>
    <w:rsid w:val="009238BC"/>
    <w:rsid w:val="00924989"/>
    <w:rsid w:val="009279C5"/>
    <w:rsid w:val="0093053A"/>
    <w:rsid w:val="00931DE2"/>
    <w:rsid w:val="00931F23"/>
    <w:rsid w:val="009324F9"/>
    <w:rsid w:val="00932C24"/>
    <w:rsid w:val="00932E3C"/>
    <w:rsid w:val="009336C2"/>
    <w:rsid w:val="0093457B"/>
    <w:rsid w:val="00934B64"/>
    <w:rsid w:val="00934ED5"/>
    <w:rsid w:val="009350A6"/>
    <w:rsid w:val="00936434"/>
    <w:rsid w:val="00937338"/>
    <w:rsid w:val="009376FC"/>
    <w:rsid w:val="00940B1E"/>
    <w:rsid w:val="00940CBF"/>
    <w:rsid w:val="009414AD"/>
    <w:rsid w:val="009417E0"/>
    <w:rsid w:val="009427B9"/>
    <w:rsid w:val="00942B96"/>
    <w:rsid w:val="009446C1"/>
    <w:rsid w:val="009449E6"/>
    <w:rsid w:val="00945428"/>
    <w:rsid w:val="0094599B"/>
    <w:rsid w:val="009471F5"/>
    <w:rsid w:val="00947486"/>
    <w:rsid w:val="0094787D"/>
    <w:rsid w:val="00947AE1"/>
    <w:rsid w:val="009500B7"/>
    <w:rsid w:val="0095018F"/>
    <w:rsid w:val="00950433"/>
    <w:rsid w:val="00950C4E"/>
    <w:rsid w:val="00951252"/>
    <w:rsid w:val="009526C0"/>
    <w:rsid w:val="00955281"/>
    <w:rsid w:val="00957C87"/>
    <w:rsid w:val="00961BD3"/>
    <w:rsid w:val="00962A8D"/>
    <w:rsid w:val="00962F2A"/>
    <w:rsid w:val="00963D98"/>
    <w:rsid w:val="009648F5"/>
    <w:rsid w:val="00965F6A"/>
    <w:rsid w:val="00966E10"/>
    <w:rsid w:val="0096735D"/>
    <w:rsid w:val="00967D87"/>
    <w:rsid w:val="00970632"/>
    <w:rsid w:val="00970DFF"/>
    <w:rsid w:val="00971327"/>
    <w:rsid w:val="00971CB6"/>
    <w:rsid w:val="00972049"/>
    <w:rsid w:val="00972B97"/>
    <w:rsid w:val="00973C7C"/>
    <w:rsid w:val="009742D6"/>
    <w:rsid w:val="009747E7"/>
    <w:rsid w:val="00977644"/>
    <w:rsid w:val="00980351"/>
    <w:rsid w:val="00981083"/>
    <w:rsid w:val="009814C7"/>
    <w:rsid w:val="00982345"/>
    <w:rsid w:val="00985F5C"/>
    <w:rsid w:val="00986320"/>
    <w:rsid w:val="00986467"/>
    <w:rsid w:val="00986706"/>
    <w:rsid w:val="009875D3"/>
    <w:rsid w:val="009910F7"/>
    <w:rsid w:val="00991602"/>
    <w:rsid w:val="00993ADF"/>
    <w:rsid w:val="0099404E"/>
    <w:rsid w:val="0099561E"/>
    <w:rsid w:val="009957BC"/>
    <w:rsid w:val="009A03B4"/>
    <w:rsid w:val="009A03CC"/>
    <w:rsid w:val="009A137D"/>
    <w:rsid w:val="009A2981"/>
    <w:rsid w:val="009A37DE"/>
    <w:rsid w:val="009A3CCD"/>
    <w:rsid w:val="009A3EB0"/>
    <w:rsid w:val="009A4F85"/>
    <w:rsid w:val="009A6FC1"/>
    <w:rsid w:val="009A7E50"/>
    <w:rsid w:val="009A7E7F"/>
    <w:rsid w:val="009B0E16"/>
    <w:rsid w:val="009B2B78"/>
    <w:rsid w:val="009B643C"/>
    <w:rsid w:val="009B75E9"/>
    <w:rsid w:val="009B7F9D"/>
    <w:rsid w:val="009C2927"/>
    <w:rsid w:val="009C2D8B"/>
    <w:rsid w:val="009C2E4E"/>
    <w:rsid w:val="009C497D"/>
    <w:rsid w:val="009C554A"/>
    <w:rsid w:val="009C64B4"/>
    <w:rsid w:val="009C768D"/>
    <w:rsid w:val="009D075A"/>
    <w:rsid w:val="009D1CA0"/>
    <w:rsid w:val="009D3DE9"/>
    <w:rsid w:val="009D4133"/>
    <w:rsid w:val="009D5210"/>
    <w:rsid w:val="009D6506"/>
    <w:rsid w:val="009D68ED"/>
    <w:rsid w:val="009D6ABF"/>
    <w:rsid w:val="009D770F"/>
    <w:rsid w:val="009E1793"/>
    <w:rsid w:val="009E25F3"/>
    <w:rsid w:val="009E292A"/>
    <w:rsid w:val="009E4611"/>
    <w:rsid w:val="009E471D"/>
    <w:rsid w:val="009E505A"/>
    <w:rsid w:val="009E7640"/>
    <w:rsid w:val="009F0393"/>
    <w:rsid w:val="009F1226"/>
    <w:rsid w:val="009F12F6"/>
    <w:rsid w:val="009F2029"/>
    <w:rsid w:val="009F2205"/>
    <w:rsid w:val="009F2B85"/>
    <w:rsid w:val="009F397E"/>
    <w:rsid w:val="009F42E6"/>
    <w:rsid w:val="009F58B9"/>
    <w:rsid w:val="009F682A"/>
    <w:rsid w:val="009F717B"/>
    <w:rsid w:val="009F7FF1"/>
    <w:rsid w:val="00A017DE"/>
    <w:rsid w:val="00A023FD"/>
    <w:rsid w:val="00A035D8"/>
    <w:rsid w:val="00A038D6"/>
    <w:rsid w:val="00A03CF3"/>
    <w:rsid w:val="00A05263"/>
    <w:rsid w:val="00A05DEF"/>
    <w:rsid w:val="00A06B11"/>
    <w:rsid w:val="00A06CC5"/>
    <w:rsid w:val="00A10223"/>
    <w:rsid w:val="00A10B18"/>
    <w:rsid w:val="00A10CED"/>
    <w:rsid w:val="00A1146C"/>
    <w:rsid w:val="00A11C70"/>
    <w:rsid w:val="00A127F3"/>
    <w:rsid w:val="00A13385"/>
    <w:rsid w:val="00A1482D"/>
    <w:rsid w:val="00A148F0"/>
    <w:rsid w:val="00A14960"/>
    <w:rsid w:val="00A15890"/>
    <w:rsid w:val="00A16395"/>
    <w:rsid w:val="00A17C1B"/>
    <w:rsid w:val="00A21694"/>
    <w:rsid w:val="00A2204C"/>
    <w:rsid w:val="00A22EDD"/>
    <w:rsid w:val="00A243A8"/>
    <w:rsid w:val="00A24B13"/>
    <w:rsid w:val="00A24FF2"/>
    <w:rsid w:val="00A251A1"/>
    <w:rsid w:val="00A25245"/>
    <w:rsid w:val="00A2549A"/>
    <w:rsid w:val="00A26152"/>
    <w:rsid w:val="00A26F8C"/>
    <w:rsid w:val="00A3263B"/>
    <w:rsid w:val="00A33236"/>
    <w:rsid w:val="00A34D0E"/>
    <w:rsid w:val="00A357D0"/>
    <w:rsid w:val="00A35AD5"/>
    <w:rsid w:val="00A421DF"/>
    <w:rsid w:val="00A442A4"/>
    <w:rsid w:val="00A44363"/>
    <w:rsid w:val="00A44E53"/>
    <w:rsid w:val="00A47DC4"/>
    <w:rsid w:val="00A502EC"/>
    <w:rsid w:val="00A511B8"/>
    <w:rsid w:val="00A528D9"/>
    <w:rsid w:val="00A52F3E"/>
    <w:rsid w:val="00A53473"/>
    <w:rsid w:val="00A5380B"/>
    <w:rsid w:val="00A54403"/>
    <w:rsid w:val="00A54F34"/>
    <w:rsid w:val="00A5516E"/>
    <w:rsid w:val="00A566BC"/>
    <w:rsid w:val="00A56791"/>
    <w:rsid w:val="00A56814"/>
    <w:rsid w:val="00A57A51"/>
    <w:rsid w:val="00A628E5"/>
    <w:rsid w:val="00A62D0B"/>
    <w:rsid w:val="00A630CF"/>
    <w:rsid w:val="00A63A4C"/>
    <w:rsid w:val="00A63A9E"/>
    <w:rsid w:val="00A650D1"/>
    <w:rsid w:val="00A65384"/>
    <w:rsid w:val="00A65B66"/>
    <w:rsid w:val="00A65FA9"/>
    <w:rsid w:val="00A66F0B"/>
    <w:rsid w:val="00A67543"/>
    <w:rsid w:val="00A6777E"/>
    <w:rsid w:val="00A67933"/>
    <w:rsid w:val="00A67A34"/>
    <w:rsid w:val="00A67C2A"/>
    <w:rsid w:val="00A67D90"/>
    <w:rsid w:val="00A70315"/>
    <w:rsid w:val="00A727EB"/>
    <w:rsid w:val="00A72F0D"/>
    <w:rsid w:val="00A7333B"/>
    <w:rsid w:val="00A73628"/>
    <w:rsid w:val="00A742AE"/>
    <w:rsid w:val="00A74C9B"/>
    <w:rsid w:val="00A7738F"/>
    <w:rsid w:val="00A80049"/>
    <w:rsid w:val="00A80DCD"/>
    <w:rsid w:val="00A81402"/>
    <w:rsid w:val="00A826B1"/>
    <w:rsid w:val="00A8377D"/>
    <w:rsid w:val="00A837F8"/>
    <w:rsid w:val="00A8497C"/>
    <w:rsid w:val="00A85341"/>
    <w:rsid w:val="00A85EEC"/>
    <w:rsid w:val="00A87083"/>
    <w:rsid w:val="00A90178"/>
    <w:rsid w:val="00A90399"/>
    <w:rsid w:val="00A91D80"/>
    <w:rsid w:val="00A91DE8"/>
    <w:rsid w:val="00A928C3"/>
    <w:rsid w:val="00A92CCC"/>
    <w:rsid w:val="00A94231"/>
    <w:rsid w:val="00A94909"/>
    <w:rsid w:val="00A95D2B"/>
    <w:rsid w:val="00AA197A"/>
    <w:rsid w:val="00AA1C4F"/>
    <w:rsid w:val="00AA1DF9"/>
    <w:rsid w:val="00AA29A8"/>
    <w:rsid w:val="00AA2DC7"/>
    <w:rsid w:val="00AA2EB1"/>
    <w:rsid w:val="00AA398C"/>
    <w:rsid w:val="00AA3D76"/>
    <w:rsid w:val="00AA49BA"/>
    <w:rsid w:val="00AB0AA5"/>
    <w:rsid w:val="00AB11AA"/>
    <w:rsid w:val="00AB1A56"/>
    <w:rsid w:val="00AB2674"/>
    <w:rsid w:val="00AB46CD"/>
    <w:rsid w:val="00AB479C"/>
    <w:rsid w:val="00AB5575"/>
    <w:rsid w:val="00AB686E"/>
    <w:rsid w:val="00AB6B68"/>
    <w:rsid w:val="00AB6D3A"/>
    <w:rsid w:val="00AB6E22"/>
    <w:rsid w:val="00AB7C81"/>
    <w:rsid w:val="00AC01F5"/>
    <w:rsid w:val="00AC0437"/>
    <w:rsid w:val="00AC19CC"/>
    <w:rsid w:val="00AC1A8F"/>
    <w:rsid w:val="00AC1CF5"/>
    <w:rsid w:val="00AC2F6C"/>
    <w:rsid w:val="00AC47D9"/>
    <w:rsid w:val="00AC5A7B"/>
    <w:rsid w:val="00AC6212"/>
    <w:rsid w:val="00AC630C"/>
    <w:rsid w:val="00AC6817"/>
    <w:rsid w:val="00AC6A63"/>
    <w:rsid w:val="00AD13C1"/>
    <w:rsid w:val="00AD324D"/>
    <w:rsid w:val="00AD3BBD"/>
    <w:rsid w:val="00AD6DFD"/>
    <w:rsid w:val="00AD7D7C"/>
    <w:rsid w:val="00AE1193"/>
    <w:rsid w:val="00AE252F"/>
    <w:rsid w:val="00AE2F0B"/>
    <w:rsid w:val="00AE2F62"/>
    <w:rsid w:val="00AE4474"/>
    <w:rsid w:val="00AE5292"/>
    <w:rsid w:val="00AE55DC"/>
    <w:rsid w:val="00AE5A0A"/>
    <w:rsid w:val="00AE5FFE"/>
    <w:rsid w:val="00AE63C9"/>
    <w:rsid w:val="00AE6B0A"/>
    <w:rsid w:val="00AE6E6B"/>
    <w:rsid w:val="00AF0203"/>
    <w:rsid w:val="00AF0DFC"/>
    <w:rsid w:val="00AF17E5"/>
    <w:rsid w:val="00AF2688"/>
    <w:rsid w:val="00AF2790"/>
    <w:rsid w:val="00AF39ED"/>
    <w:rsid w:val="00AF3CA0"/>
    <w:rsid w:val="00AF3D76"/>
    <w:rsid w:val="00AF3E24"/>
    <w:rsid w:val="00AF4406"/>
    <w:rsid w:val="00AF51C6"/>
    <w:rsid w:val="00AF6732"/>
    <w:rsid w:val="00B01FE3"/>
    <w:rsid w:val="00B02C9B"/>
    <w:rsid w:val="00B04BEF"/>
    <w:rsid w:val="00B0552E"/>
    <w:rsid w:val="00B05C54"/>
    <w:rsid w:val="00B06ADA"/>
    <w:rsid w:val="00B07641"/>
    <w:rsid w:val="00B07B5E"/>
    <w:rsid w:val="00B111D7"/>
    <w:rsid w:val="00B11F2C"/>
    <w:rsid w:val="00B12ACA"/>
    <w:rsid w:val="00B135A8"/>
    <w:rsid w:val="00B13AAE"/>
    <w:rsid w:val="00B1496C"/>
    <w:rsid w:val="00B15550"/>
    <w:rsid w:val="00B17A72"/>
    <w:rsid w:val="00B215C9"/>
    <w:rsid w:val="00B22165"/>
    <w:rsid w:val="00B22D40"/>
    <w:rsid w:val="00B24C5C"/>
    <w:rsid w:val="00B25779"/>
    <w:rsid w:val="00B309BC"/>
    <w:rsid w:val="00B30C1D"/>
    <w:rsid w:val="00B31093"/>
    <w:rsid w:val="00B34AA0"/>
    <w:rsid w:val="00B3554B"/>
    <w:rsid w:val="00B35EF4"/>
    <w:rsid w:val="00B36766"/>
    <w:rsid w:val="00B3719D"/>
    <w:rsid w:val="00B3785E"/>
    <w:rsid w:val="00B404CF"/>
    <w:rsid w:val="00B4105F"/>
    <w:rsid w:val="00B418EE"/>
    <w:rsid w:val="00B43306"/>
    <w:rsid w:val="00B43936"/>
    <w:rsid w:val="00B4394E"/>
    <w:rsid w:val="00B439B5"/>
    <w:rsid w:val="00B43F99"/>
    <w:rsid w:val="00B44178"/>
    <w:rsid w:val="00B443F7"/>
    <w:rsid w:val="00B44695"/>
    <w:rsid w:val="00B4479C"/>
    <w:rsid w:val="00B448CB"/>
    <w:rsid w:val="00B44CC1"/>
    <w:rsid w:val="00B46018"/>
    <w:rsid w:val="00B46D83"/>
    <w:rsid w:val="00B47D76"/>
    <w:rsid w:val="00B47E3A"/>
    <w:rsid w:val="00B52C11"/>
    <w:rsid w:val="00B537A2"/>
    <w:rsid w:val="00B54994"/>
    <w:rsid w:val="00B56CFE"/>
    <w:rsid w:val="00B57852"/>
    <w:rsid w:val="00B57AA8"/>
    <w:rsid w:val="00B60707"/>
    <w:rsid w:val="00B61286"/>
    <w:rsid w:val="00B61FFC"/>
    <w:rsid w:val="00B62755"/>
    <w:rsid w:val="00B62BE6"/>
    <w:rsid w:val="00B63AA7"/>
    <w:rsid w:val="00B63CC0"/>
    <w:rsid w:val="00B63D64"/>
    <w:rsid w:val="00B641A3"/>
    <w:rsid w:val="00B6461D"/>
    <w:rsid w:val="00B64F60"/>
    <w:rsid w:val="00B65811"/>
    <w:rsid w:val="00B66C36"/>
    <w:rsid w:val="00B67299"/>
    <w:rsid w:val="00B70D9F"/>
    <w:rsid w:val="00B7126C"/>
    <w:rsid w:val="00B72065"/>
    <w:rsid w:val="00B727A5"/>
    <w:rsid w:val="00B72F7B"/>
    <w:rsid w:val="00B7332B"/>
    <w:rsid w:val="00B7397A"/>
    <w:rsid w:val="00B73F81"/>
    <w:rsid w:val="00B76795"/>
    <w:rsid w:val="00B7728B"/>
    <w:rsid w:val="00B7732D"/>
    <w:rsid w:val="00B77626"/>
    <w:rsid w:val="00B77D5A"/>
    <w:rsid w:val="00B803D6"/>
    <w:rsid w:val="00B80621"/>
    <w:rsid w:val="00B81183"/>
    <w:rsid w:val="00B814FC"/>
    <w:rsid w:val="00B81A10"/>
    <w:rsid w:val="00B83A46"/>
    <w:rsid w:val="00B86187"/>
    <w:rsid w:val="00B8781C"/>
    <w:rsid w:val="00B87EEC"/>
    <w:rsid w:val="00B90A3D"/>
    <w:rsid w:val="00B93086"/>
    <w:rsid w:val="00B93BF8"/>
    <w:rsid w:val="00B941D1"/>
    <w:rsid w:val="00B94708"/>
    <w:rsid w:val="00B94901"/>
    <w:rsid w:val="00B958CF"/>
    <w:rsid w:val="00B961FA"/>
    <w:rsid w:val="00BA07CB"/>
    <w:rsid w:val="00BA0E24"/>
    <w:rsid w:val="00BA1EEE"/>
    <w:rsid w:val="00BA26A8"/>
    <w:rsid w:val="00BA5196"/>
    <w:rsid w:val="00BA5BC5"/>
    <w:rsid w:val="00BA5E9B"/>
    <w:rsid w:val="00BA6C18"/>
    <w:rsid w:val="00BA70C9"/>
    <w:rsid w:val="00BB2194"/>
    <w:rsid w:val="00BB2A9A"/>
    <w:rsid w:val="00BB4340"/>
    <w:rsid w:val="00BB4602"/>
    <w:rsid w:val="00BB4EDB"/>
    <w:rsid w:val="00BB4FB1"/>
    <w:rsid w:val="00BB545B"/>
    <w:rsid w:val="00BB5E6A"/>
    <w:rsid w:val="00BB5F3E"/>
    <w:rsid w:val="00BB6113"/>
    <w:rsid w:val="00BB74A7"/>
    <w:rsid w:val="00BC1ABC"/>
    <w:rsid w:val="00BC1CB7"/>
    <w:rsid w:val="00BC23BF"/>
    <w:rsid w:val="00BC2AA0"/>
    <w:rsid w:val="00BC3F61"/>
    <w:rsid w:val="00BC644F"/>
    <w:rsid w:val="00BC75B1"/>
    <w:rsid w:val="00BC7877"/>
    <w:rsid w:val="00BC79C1"/>
    <w:rsid w:val="00BD2E90"/>
    <w:rsid w:val="00BD305E"/>
    <w:rsid w:val="00BD4574"/>
    <w:rsid w:val="00BD4F66"/>
    <w:rsid w:val="00BD5123"/>
    <w:rsid w:val="00BD5332"/>
    <w:rsid w:val="00BD6E29"/>
    <w:rsid w:val="00BD791E"/>
    <w:rsid w:val="00BD7CF8"/>
    <w:rsid w:val="00BE0EA1"/>
    <w:rsid w:val="00BE216B"/>
    <w:rsid w:val="00BE32F3"/>
    <w:rsid w:val="00BE3862"/>
    <w:rsid w:val="00BE4AC3"/>
    <w:rsid w:val="00BE5E05"/>
    <w:rsid w:val="00BF01CB"/>
    <w:rsid w:val="00BF0F89"/>
    <w:rsid w:val="00BF3B2B"/>
    <w:rsid w:val="00BF42C3"/>
    <w:rsid w:val="00BF4746"/>
    <w:rsid w:val="00BF4F94"/>
    <w:rsid w:val="00BF51F5"/>
    <w:rsid w:val="00C01448"/>
    <w:rsid w:val="00C019B0"/>
    <w:rsid w:val="00C02D40"/>
    <w:rsid w:val="00C0300E"/>
    <w:rsid w:val="00C05222"/>
    <w:rsid w:val="00C05EBA"/>
    <w:rsid w:val="00C0653D"/>
    <w:rsid w:val="00C065F1"/>
    <w:rsid w:val="00C073DD"/>
    <w:rsid w:val="00C07C4E"/>
    <w:rsid w:val="00C07F50"/>
    <w:rsid w:val="00C108CD"/>
    <w:rsid w:val="00C11743"/>
    <w:rsid w:val="00C11AB8"/>
    <w:rsid w:val="00C1223E"/>
    <w:rsid w:val="00C12309"/>
    <w:rsid w:val="00C12314"/>
    <w:rsid w:val="00C131F6"/>
    <w:rsid w:val="00C13322"/>
    <w:rsid w:val="00C14F6A"/>
    <w:rsid w:val="00C153AD"/>
    <w:rsid w:val="00C1552D"/>
    <w:rsid w:val="00C15787"/>
    <w:rsid w:val="00C16DAC"/>
    <w:rsid w:val="00C17438"/>
    <w:rsid w:val="00C20E6C"/>
    <w:rsid w:val="00C21D92"/>
    <w:rsid w:val="00C21E34"/>
    <w:rsid w:val="00C22459"/>
    <w:rsid w:val="00C225AB"/>
    <w:rsid w:val="00C234D2"/>
    <w:rsid w:val="00C23947"/>
    <w:rsid w:val="00C24442"/>
    <w:rsid w:val="00C2476E"/>
    <w:rsid w:val="00C24CE8"/>
    <w:rsid w:val="00C302F4"/>
    <w:rsid w:val="00C30813"/>
    <w:rsid w:val="00C32D48"/>
    <w:rsid w:val="00C33F76"/>
    <w:rsid w:val="00C349E7"/>
    <w:rsid w:val="00C370E1"/>
    <w:rsid w:val="00C40D2D"/>
    <w:rsid w:val="00C40ECE"/>
    <w:rsid w:val="00C41482"/>
    <w:rsid w:val="00C41E16"/>
    <w:rsid w:val="00C43050"/>
    <w:rsid w:val="00C43C51"/>
    <w:rsid w:val="00C46E77"/>
    <w:rsid w:val="00C46F4E"/>
    <w:rsid w:val="00C506D7"/>
    <w:rsid w:val="00C50827"/>
    <w:rsid w:val="00C51543"/>
    <w:rsid w:val="00C51DD8"/>
    <w:rsid w:val="00C52AA7"/>
    <w:rsid w:val="00C53060"/>
    <w:rsid w:val="00C53308"/>
    <w:rsid w:val="00C553FC"/>
    <w:rsid w:val="00C56C55"/>
    <w:rsid w:val="00C57723"/>
    <w:rsid w:val="00C57A9A"/>
    <w:rsid w:val="00C57DC2"/>
    <w:rsid w:val="00C61002"/>
    <w:rsid w:val="00C61073"/>
    <w:rsid w:val="00C633B6"/>
    <w:rsid w:val="00C64038"/>
    <w:rsid w:val="00C64964"/>
    <w:rsid w:val="00C6527E"/>
    <w:rsid w:val="00C65597"/>
    <w:rsid w:val="00C65784"/>
    <w:rsid w:val="00C658D5"/>
    <w:rsid w:val="00C7091B"/>
    <w:rsid w:val="00C71F64"/>
    <w:rsid w:val="00C721F4"/>
    <w:rsid w:val="00C741B6"/>
    <w:rsid w:val="00C77B90"/>
    <w:rsid w:val="00C77E6B"/>
    <w:rsid w:val="00C80C61"/>
    <w:rsid w:val="00C8190A"/>
    <w:rsid w:val="00C81D49"/>
    <w:rsid w:val="00C844DA"/>
    <w:rsid w:val="00C84FF8"/>
    <w:rsid w:val="00C86F90"/>
    <w:rsid w:val="00C8738D"/>
    <w:rsid w:val="00C90CB9"/>
    <w:rsid w:val="00C911B4"/>
    <w:rsid w:val="00C91FED"/>
    <w:rsid w:val="00C93574"/>
    <w:rsid w:val="00C93A56"/>
    <w:rsid w:val="00C940B3"/>
    <w:rsid w:val="00C94AD6"/>
    <w:rsid w:val="00C96127"/>
    <w:rsid w:val="00C9722F"/>
    <w:rsid w:val="00CA13BF"/>
    <w:rsid w:val="00CA2BDA"/>
    <w:rsid w:val="00CA3AAE"/>
    <w:rsid w:val="00CA43C6"/>
    <w:rsid w:val="00CA722A"/>
    <w:rsid w:val="00CB0138"/>
    <w:rsid w:val="00CB18BD"/>
    <w:rsid w:val="00CB1A4A"/>
    <w:rsid w:val="00CB2259"/>
    <w:rsid w:val="00CB255D"/>
    <w:rsid w:val="00CB36FB"/>
    <w:rsid w:val="00CB3B09"/>
    <w:rsid w:val="00CB5216"/>
    <w:rsid w:val="00CB557D"/>
    <w:rsid w:val="00CB5E16"/>
    <w:rsid w:val="00CB6266"/>
    <w:rsid w:val="00CB75CF"/>
    <w:rsid w:val="00CC0C49"/>
    <w:rsid w:val="00CC2E04"/>
    <w:rsid w:val="00CC2E22"/>
    <w:rsid w:val="00CC2F22"/>
    <w:rsid w:val="00CC2F9E"/>
    <w:rsid w:val="00CC4C80"/>
    <w:rsid w:val="00CC5106"/>
    <w:rsid w:val="00CC5D15"/>
    <w:rsid w:val="00CC60F1"/>
    <w:rsid w:val="00CC649C"/>
    <w:rsid w:val="00CC6753"/>
    <w:rsid w:val="00CC6F82"/>
    <w:rsid w:val="00CC7A0C"/>
    <w:rsid w:val="00CD0957"/>
    <w:rsid w:val="00CD0F3F"/>
    <w:rsid w:val="00CD170E"/>
    <w:rsid w:val="00CD2218"/>
    <w:rsid w:val="00CD320C"/>
    <w:rsid w:val="00CD36C0"/>
    <w:rsid w:val="00CD393F"/>
    <w:rsid w:val="00CD3953"/>
    <w:rsid w:val="00CD50AF"/>
    <w:rsid w:val="00CD529C"/>
    <w:rsid w:val="00CD5A8A"/>
    <w:rsid w:val="00CD62E2"/>
    <w:rsid w:val="00CD66EA"/>
    <w:rsid w:val="00CD69AE"/>
    <w:rsid w:val="00CD7A2A"/>
    <w:rsid w:val="00CE0B1C"/>
    <w:rsid w:val="00CE386D"/>
    <w:rsid w:val="00CE43D6"/>
    <w:rsid w:val="00CE66E0"/>
    <w:rsid w:val="00CE7C1C"/>
    <w:rsid w:val="00CF06FF"/>
    <w:rsid w:val="00CF26C7"/>
    <w:rsid w:val="00CF3757"/>
    <w:rsid w:val="00CF414D"/>
    <w:rsid w:val="00CF5C17"/>
    <w:rsid w:val="00CF646B"/>
    <w:rsid w:val="00CF697B"/>
    <w:rsid w:val="00CF7281"/>
    <w:rsid w:val="00D015BC"/>
    <w:rsid w:val="00D02DB3"/>
    <w:rsid w:val="00D033F5"/>
    <w:rsid w:val="00D108B9"/>
    <w:rsid w:val="00D10F13"/>
    <w:rsid w:val="00D11E48"/>
    <w:rsid w:val="00D12194"/>
    <w:rsid w:val="00D13DEE"/>
    <w:rsid w:val="00D16F35"/>
    <w:rsid w:val="00D21D56"/>
    <w:rsid w:val="00D27910"/>
    <w:rsid w:val="00D31A34"/>
    <w:rsid w:val="00D3209A"/>
    <w:rsid w:val="00D32B4A"/>
    <w:rsid w:val="00D33D3E"/>
    <w:rsid w:val="00D34B11"/>
    <w:rsid w:val="00D35046"/>
    <w:rsid w:val="00D35A09"/>
    <w:rsid w:val="00D36636"/>
    <w:rsid w:val="00D36EF6"/>
    <w:rsid w:val="00D37283"/>
    <w:rsid w:val="00D411D7"/>
    <w:rsid w:val="00D41586"/>
    <w:rsid w:val="00D41AD2"/>
    <w:rsid w:val="00D42FE2"/>
    <w:rsid w:val="00D431CE"/>
    <w:rsid w:val="00D433DA"/>
    <w:rsid w:val="00D436B3"/>
    <w:rsid w:val="00D4376E"/>
    <w:rsid w:val="00D43F21"/>
    <w:rsid w:val="00D44BDD"/>
    <w:rsid w:val="00D44EFF"/>
    <w:rsid w:val="00D46460"/>
    <w:rsid w:val="00D46F82"/>
    <w:rsid w:val="00D47FDC"/>
    <w:rsid w:val="00D504EC"/>
    <w:rsid w:val="00D50C7D"/>
    <w:rsid w:val="00D51A9F"/>
    <w:rsid w:val="00D52C11"/>
    <w:rsid w:val="00D543A7"/>
    <w:rsid w:val="00D54588"/>
    <w:rsid w:val="00D5486E"/>
    <w:rsid w:val="00D561BC"/>
    <w:rsid w:val="00D563D9"/>
    <w:rsid w:val="00D57059"/>
    <w:rsid w:val="00D600F0"/>
    <w:rsid w:val="00D615EB"/>
    <w:rsid w:val="00D618E9"/>
    <w:rsid w:val="00D631D7"/>
    <w:rsid w:val="00D6442D"/>
    <w:rsid w:val="00D64A71"/>
    <w:rsid w:val="00D6599E"/>
    <w:rsid w:val="00D65A67"/>
    <w:rsid w:val="00D65D8B"/>
    <w:rsid w:val="00D66D7A"/>
    <w:rsid w:val="00D707CD"/>
    <w:rsid w:val="00D70A40"/>
    <w:rsid w:val="00D72C37"/>
    <w:rsid w:val="00D7443D"/>
    <w:rsid w:val="00D75F09"/>
    <w:rsid w:val="00D75FD9"/>
    <w:rsid w:val="00D77196"/>
    <w:rsid w:val="00D775B8"/>
    <w:rsid w:val="00D778C2"/>
    <w:rsid w:val="00D779EA"/>
    <w:rsid w:val="00D82A5F"/>
    <w:rsid w:val="00D82D87"/>
    <w:rsid w:val="00D860A4"/>
    <w:rsid w:val="00D87B8F"/>
    <w:rsid w:val="00D90B48"/>
    <w:rsid w:val="00D9159B"/>
    <w:rsid w:val="00D91C10"/>
    <w:rsid w:val="00D921B8"/>
    <w:rsid w:val="00D9240F"/>
    <w:rsid w:val="00D925A3"/>
    <w:rsid w:val="00D92E4E"/>
    <w:rsid w:val="00D92F9A"/>
    <w:rsid w:val="00D94FDE"/>
    <w:rsid w:val="00D953A3"/>
    <w:rsid w:val="00D955BC"/>
    <w:rsid w:val="00D97EC7"/>
    <w:rsid w:val="00DA28FC"/>
    <w:rsid w:val="00DA599E"/>
    <w:rsid w:val="00DA65DE"/>
    <w:rsid w:val="00DA665C"/>
    <w:rsid w:val="00DA66C2"/>
    <w:rsid w:val="00DA6C27"/>
    <w:rsid w:val="00DA7F75"/>
    <w:rsid w:val="00DB11EF"/>
    <w:rsid w:val="00DB3406"/>
    <w:rsid w:val="00DB434F"/>
    <w:rsid w:val="00DB4935"/>
    <w:rsid w:val="00DB4D9D"/>
    <w:rsid w:val="00DB5326"/>
    <w:rsid w:val="00DB5B2F"/>
    <w:rsid w:val="00DB7718"/>
    <w:rsid w:val="00DC01EA"/>
    <w:rsid w:val="00DC0707"/>
    <w:rsid w:val="00DC0CEA"/>
    <w:rsid w:val="00DC1FEC"/>
    <w:rsid w:val="00DC2F81"/>
    <w:rsid w:val="00DC5CEC"/>
    <w:rsid w:val="00DC7190"/>
    <w:rsid w:val="00DD0413"/>
    <w:rsid w:val="00DD17F9"/>
    <w:rsid w:val="00DD1E22"/>
    <w:rsid w:val="00DD3452"/>
    <w:rsid w:val="00DD3E47"/>
    <w:rsid w:val="00DD413A"/>
    <w:rsid w:val="00DE087D"/>
    <w:rsid w:val="00DE17D2"/>
    <w:rsid w:val="00DE2482"/>
    <w:rsid w:val="00DE2A27"/>
    <w:rsid w:val="00DE304C"/>
    <w:rsid w:val="00DE34BF"/>
    <w:rsid w:val="00DE50C9"/>
    <w:rsid w:val="00DE515F"/>
    <w:rsid w:val="00DE7305"/>
    <w:rsid w:val="00DE73DB"/>
    <w:rsid w:val="00DE76BC"/>
    <w:rsid w:val="00DE7B08"/>
    <w:rsid w:val="00DF03DA"/>
    <w:rsid w:val="00DF05CE"/>
    <w:rsid w:val="00DF0AC3"/>
    <w:rsid w:val="00DF0AD4"/>
    <w:rsid w:val="00DF1EB4"/>
    <w:rsid w:val="00DF1F00"/>
    <w:rsid w:val="00DF2554"/>
    <w:rsid w:val="00DF2CDD"/>
    <w:rsid w:val="00DF5139"/>
    <w:rsid w:val="00DF6390"/>
    <w:rsid w:val="00DF7507"/>
    <w:rsid w:val="00DF763A"/>
    <w:rsid w:val="00DF7A98"/>
    <w:rsid w:val="00DF7B27"/>
    <w:rsid w:val="00E003BF"/>
    <w:rsid w:val="00E0186B"/>
    <w:rsid w:val="00E01A58"/>
    <w:rsid w:val="00E03C90"/>
    <w:rsid w:val="00E06CAF"/>
    <w:rsid w:val="00E07C49"/>
    <w:rsid w:val="00E1176C"/>
    <w:rsid w:val="00E118D1"/>
    <w:rsid w:val="00E11A30"/>
    <w:rsid w:val="00E12803"/>
    <w:rsid w:val="00E133D0"/>
    <w:rsid w:val="00E13B07"/>
    <w:rsid w:val="00E13D0B"/>
    <w:rsid w:val="00E13D8A"/>
    <w:rsid w:val="00E14605"/>
    <w:rsid w:val="00E16051"/>
    <w:rsid w:val="00E165AB"/>
    <w:rsid w:val="00E165AC"/>
    <w:rsid w:val="00E16DF4"/>
    <w:rsid w:val="00E1764D"/>
    <w:rsid w:val="00E20188"/>
    <w:rsid w:val="00E21965"/>
    <w:rsid w:val="00E23DE6"/>
    <w:rsid w:val="00E24CAD"/>
    <w:rsid w:val="00E2533E"/>
    <w:rsid w:val="00E300B0"/>
    <w:rsid w:val="00E30216"/>
    <w:rsid w:val="00E30432"/>
    <w:rsid w:val="00E30B52"/>
    <w:rsid w:val="00E3113D"/>
    <w:rsid w:val="00E32DDE"/>
    <w:rsid w:val="00E330E0"/>
    <w:rsid w:val="00E34417"/>
    <w:rsid w:val="00E344C6"/>
    <w:rsid w:val="00E35022"/>
    <w:rsid w:val="00E35D56"/>
    <w:rsid w:val="00E35DD8"/>
    <w:rsid w:val="00E3603F"/>
    <w:rsid w:val="00E364B6"/>
    <w:rsid w:val="00E37D43"/>
    <w:rsid w:val="00E410BE"/>
    <w:rsid w:val="00E4121F"/>
    <w:rsid w:val="00E41265"/>
    <w:rsid w:val="00E412E8"/>
    <w:rsid w:val="00E41C5F"/>
    <w:rsid w:val="00E42361"/>
    <w:rsid w:val="00E42C2C"/>
    <w:rsid w:val="00E43A33"/>
    <w:rsid w:val="00E44A01"/>
    <w:rsid w:val="00E45B7F"/>
    <w:rsid w:val="00E463E9"/>
    <w:rsid w:val="00E4779B"/>
    <w:rsid w:val="00E5141D"/>
    <w:rsid w:val="00E51BD5"/>
    <w:rsid w:val="00E51F27"/>
    <w:rsid w:val="00E52626"/>
    <w:rsid w:val="00E5290E"/>
    <w:rsid w:val="00E529F7"/>
    <w:rsid w:val="00E531D2"/>
    <w:rsid w:val="00E53601"/>
    <w:rsid w:val="00E54353"/>
    <w:rsid w:val="00E55C3B"/>
    <w:rsid w:val="00E55CC2"/>
    <w:rsid w:val="00E561E3"/>
    <w:rsid w:val="00E603D8"/>
    <w:rsid w:val="00E618B9"/>
    <w:rsid w:val="00E61C64"/>
    <w:rsid w:val="00E624AB"/>
    <w:rsid w:val="00E625CC"/>
    <w:rsid w:val="00E62C37"/>
    <w:rsid w:val="00E635FA"/>
    <w:rsid w:val="00E641BA"/>
    <w:rsid w:val="00E66B2F"/>
    <w:rsid w:val="00E66DB1"/>
    <w:rsid w:val="00E67283"/>
    <w:rsid w:val="00E677F6"/>
    <w:rsid w:val="00E72BDF"/>
    <w:rsid w:val="00E73F5B"/>
    <w:rsid w:val="00E74ACE"/>
    <w:rsid w:val="00E7646B"/>
    <w:rsid w:val="00E776F1"/>
    <w:rsid w:val="00E77862"/>
    <w:rsid w:val="00E8008D"/>
    <w:rsid w:val="00E802A8"/>
    <w:rsid w:val="00E80ECA"/>
    <w:rsid w:val="00E8107A"/>
    <w:rsid w:val="00E81CB7"/>
    <w:rsid w:val="00E81D99"/>
    <w:rsid w:val="00E83AEF"/>
    <w:rsid w:val="00E83C19"/>
    <w:rsid w:val="00E83EA7"/>
    <w:rsid w:val="00E845D3"/>
    <w:rsid w:val="00E8654C"/>
    <w:rsid w:val="00E867F9"/>
    <w:rsid w:val="00E868C0"/>
    <w:rsid w:val="00E87E5D"/>
    <w:rsid w:val="00E901B1"/>
    <w:rsid w:val="00E90FC4"/>
    <w:rsid w:val="00E92030"/>
    <w:rsid w:val="00E925F1"/>
    <w:rsid w:val="00E93FB7"/>
    <w:rsid w:val="00E96522"/>
    <w:rsid w:val="00E96CA3"/>
    <w:rsid w:val="00E97A5F"/>
    <w:rsid w:val="00E97B55"/>
    <w:rsid w:val="00EA01C8"/>
    <w:rsid w:val="00EA0DA2"/>
    <w:rsid w:val="00EA2228"/>
    <w:rsid w:val="00EA2A63"/>
    <w:rsid w:val="00EA3063"/>
    <w:rsid w:val="00EA3D95"/>
    <w:rsid w:val="00EA55E6"/>
    <w:rsid w:val="00EA600C"/>
    <w:rsid w:val="00EA6531"/>
    <w:rsid w:val="00EA6A7F"/>
    <w:rsid w:val="00EA7B24"/>
    <w:rsid w:val="00EB0671"/>
    <w:rsid w:val="00EB20FE"/>
    <w:rsid w:val="00EB2377"/>
    <w:rsid w:val="00EB26F9"/>
    <w:rsid w:val="00EB6E2A"/>
    <w:rsid w:val="00EB7A5E"/>
    <w:rsid w:val="00EC0CB0"/>
    <w:rsid w:val="00EC1A7E"/>
    <w:rsid w:val="00EC26F3"/>
    <w:rsid w:val="00EC4768"/>
    <w:rsid w:val="00EC6C0B"/>
    <w:rsid w:val="00EC7D1F"/>
    <w:rsid w:val="00ED0A11"/>
    <w:rsid w:val="00ED0A17"/>
    <w:rsid w:val="00ED1D5A"/>
    <w:rsid w:val="00ED2B02"/>
    <w:rsid w:val="00ED337D"/>
    <w:rsid w:val="00ED3B28"/>
    <w:rsid w:val="00ED3D92"/>
    <w:rsid w:val="00ED3FC7"/>
    <w:rsid w:val="00ED461D"/>
    <w:rsid w:val="00ED4656"/>
    <w:rsid w:val="00ED63EA"/>
    <w:rsid w:val="00EE1EB6"/>
    <w:rsid w:val="00EE3A25"/>
    <w:rsid w:val="00EE53D4"/>
    <w:rsid w:val="00EE5C3B"/>
    <w:rsid w:val="00EE6040"/>
    <w:rsid w:val="00EE60C2"/>
    <w:rsid w:val="00EE65DA"/>
    <w:rsid w:val="00EE6D9A"/>
    <w:rsid w:val="00EE7C53"/>
    <w:rsid w:val="00EF0AC9"/>
    <w:rsid w:val="00EF176E"/>
    <w:rsid w:val="00EF1DE6"/>
    <w:rsid w:val="00EF33D6"/>
    <w:rsid w:val="00EF34F1"/>
    <w:rsid w:val="00EF3A18"/>
    <w:rsid w:val="00EF43E0"/>
    <w:rsid w:val="00EF51FF"/>
    <w:rsid w:val="00EF6FB4"/>
    <w:rsid w:val="00F00CC4"/>
    <w:rsid w:val="00F019A5"/>
    <w:rsid w:val="00F034AF"/>
    <w:rsid w:val="00F0517D"/>
    <w:rsid w:val="00F077A4"/>
    <w:rsid w:val="00F07AA4"/>
    <w:rsid w:val="00F10C94"/>
    <w:rsid w:val="00F110FC"/>
    <w:rsid w:val="00F119DA"/>
    <w:rsid w:val="00F119E5"/>
    <w:rsid w:val="00F12B94"/>
    <w:rsid w:val="00F13C71"/>
    <w:rsid w:val="00F13D52"/>
    <w:rsid w:val="00F14436"/>
    <w:rsid w:val="00F14EBA"/>
    <w:rsid w:val="00F160D4"/>
    <w:rsid w:val="00F16175"/>
    <w:rsid w:val="00F16A44"/>
    <w:rsid w:val="00F17B22"/>
    <w:rsid w:val="00F20BF1"/>
    <w:rsid w:val="00F20EDA"/>
    <w:rsid w:val="00F23A5A"/>
    <w:rsid w:val="00F25A5B"/>
    <w:rsid w:val="00F2626A"/>
    <w:rsid w:val="00F300A1"/>
    <w:rsid w:val="00F31354"/>
    <w:rsid w:val="00F32240"/>
    <w:rsid w:val="00F3250C"/>
    <w:rsid w:val="00F33412"/>
    <w:rsid w:val="00F36153"/>
    <w:rsid w:val="00F37546"/>
    <w:rsid w:val="00F375CD"/>
    <w:rsid w:val="00F37EE0"/>
    <w:rsid w:val="00F37F15"/>
    <w:rsid w:val="00F425DF"/>
    <w:rsid w:val="00F4351D"/>
    <w:rsid w:val="00F4389A"/>
    <w:rsid w:val="00F43C46"/>
    <w:rsid w:val="00F4606C"/>
    <w:rsid w:val="00F47E44"/>
    <w:rsid w:val="00F50071"/>
    <w:rsid w:val="00F520FC"/>
    <w:rsid w:val="00F53363"/>
    <w:rsid w:val="00F53731"/>
    <w:rsid w:val="00F53D78"/>
    <w:rsid w:val="00F54A8B"/>
    <w:rsid w:val="00F55374"/>
    <w:rsid w:val="00F57350"/>
    <w:rsid w:val="00F63256"/>
    <w:rsid w:val="00F64A9E"/>
    <w:rsid w:val="00F6676D"/>
    <w:rsid w:val="00F67457"/>
    <w:rsid w:val="00F67FC2"/>
    <w:rsid w:val="00F70105"/>
    <w:rsid w:val="00F7014A"/>
    <w:rsid w:val="00F73BF2"/>
    <w:rsid w:val="00F73D28"/>
    <w:rsid w:val="00F745B3"/>
    <w:rsid w:val="00F75C35"/>
    <w:rsid w:val="00F7719D"/>
    <w:rsid w:val="00F775CD"/>
    <w:rsid w:val="00F80565"/>
    <w:rsid w:val="00F80E9C"/>
    <w:rsid w:val="00F80EF5"/>
    <w:rsid w:val="00F82385"/>
    <w:rsid w:val="00F829DA"/>
    <w:rsid w:val="00F84315"/>
    <w:rsid w:val="00F856F2"/>
    <w:rsid w:val="00F8604F"/>
    <w:rsid w:val="00F917B1"/>
    <w:rsid w:val="00F91AE4"/>
    <w:rsid w:val="00F9299F"/>
    <w:rsid w:val="00F92DB4"/>
    <w:rsid w:val="00F9419A"/>
    <w:rsid w:val="00F94C2B"/>
    <w:rsid w:val="00F95198"/>
    <w:rsid w:val="00F95D5E"/>
    <w:rsid w:val="00F97BFA"/>
    <w:rsid w:val="00FA2D4C"/>
    <w:rsid w:val="00FA2F1B"/>
    <w:rsid w:val="00FA31BC"/>
    <w:rsid w:val="00FA4CD1"/>
    <w:rsid w:val="00FA556F"/>
    <w:rsid w:val="00FA55F7"/>
    <w:rsid w:val="00FA5941"/>
    <w:rsid w:val="00FA5A25"/>
    <w:rsid w:val="00FA5E5B"/>
    <w:rsid w:val="00FA670F"/>
    <w:rsid w:val="00FA6F13"/>
    <w:rsid w:val="00FA7021"/>
    <w:rsid w:val="00FA722B"/>
    <w:rsid w:val="00FA740C"/>
    <w:rsid w:val="00FA7F04"/>
    <w:rsid w:val="00FA7F4B"/>
    <w:rsid w:val="00FB0974"/>
    <w:rsid w:val="00FB213A"/>
    <w:rsid w:val="00FB2851"/>
    <w:rsid w:val="00FB30E2"/>
    <w:rsid w:val="00FB30F8"/>
    <w:rsid w:val="00FB3156"/>
    <w:rsid w:val="00FB33C2"/>
    <w:rsid w:val="00FB55FC"/>
    <w:rsid w:val="00FB563F"/>
    <w:rsid w:val="00FB5CBE"/>
    <w:rsid w:val="00FB6B84"/>
    <w:rsid w:val="00FB72BB"/>
    <w:rsid w:val="00FC028E"/>
    <w:rsid w:val="00FC0795"/>
    <w:rsid w:val="00FC160A"/>
    <w:rsid w:val="00FC2F25"/>
    <w:rsid w:val="00FC4F53"/>
    <w:rsid w:val="00FC54D6"/>
    <w:rsid w:val="00FC5A55"/>
    <w:rsid w:val="00FC7967"/>
    <w:rsid w:val="00FD0228"/>
    <w:rsid w:val="00FD0B57"/>
    <w:rsid w:val="00FD2A57"/>
    <w:rsid w:val="00FD35AF"/>
    <w:rsid w:val="00FD3EE2"/>
    <w:rsid w:val="00FD49F4"/>
    <w:rsid w:val="00FD4E13"/>
    <w:rsid w:val="00FD5281"/>
    <w:rsid w:val="00FD660F"/>
    <w:rsid w:val="00FD788C"/>
    <w:rsid w:val="00FE18E1"/>
    <w:rsid w:val="00FE2A8B"/>
    <w:rsid w:val="00FE363F"/>
    <w:rsid w:val="00FE3C96"/>
    <w:rsid w:val="00FE46CE"/>
    <w:rsid w:val="00FE550D"/>
    <w:rsid w:val="00FE576F"/>
    <w:rsid w:val="00FE64B7"/>
    <w:rsid w:val="00FE754D"/>
    <w:rsid w:val="00FF095B"/>
    <w:rsid w:val="00FF1CD6"/>
    <w:rsid w:val="00FF3AA2"/>
    <w:rsid w:val="00FF3F7A"/>
    <w:rsid w:val="00FF40EE"/>
    <w:rsid w:val="00FF5A48"/>
    <w:rsid w:val="00FF6997"/>
    <w:rsid w:val="01206E9A"/>
    <w:rsid w:val="0176683B"/>
    <w:rsid w:val="0219446F"/>
    <w:rsid w:val="02D908BB"/>
    <w:rsid w:val="02E870B2"/>
    <w:rsid w:val="04253689"/>
    <w:rsid w:val="04357D70"/>
    <w:rsid w:val="05104339"/>
    <w:rsid w:val="052936A6"/>
    <w:rsid w:val="056A1DBA"/>
    <w:rsid w:val="06141C07"/>
    <w:rsid w:val="06356D69"/>
    <w:rsid w:val="069C40D7"/>
    <w:rsid w:val="06D345EA"/>
    <w:rsid w:val="07603356"/>
    <w:rsid w:val="0808579C"/>
    <w:rsid w:val="084F6F27"/>
    <w:rsid w:val="09224E76"/>
    <w:rsid w:val="097053A7"/>
    <w:rsid w:val="09B47989"/>
    <w:rsid w:val="09B66AAB"/>
    <w:rsid w:val="0A5A01AC"/>
    <w:rsid w:val="0AE03D55"/>
    <w:rsid w:val="0C994C14"/>
    <w:rsid w:val="0CD143AE"/>
    <w:rsid w:val="0D815DD4"/>
    <w:rsid w:val="0EA25910"/>
    <w:rsid w:val="0EAA1CD0"/>
    <w:rsid w:val="0F1113DA"/>
    <w:rsid w:val="10005060"/>
    <w:rsid w:val="11BB615E"/>
    <w:rsid w:val="12882B2F"/>
    <w:rsid w:val="129B6061"/>
    <w:rsid w:val="12A9344A"/>
    <w:rsid w:val="13AD0F91"/>
    <w:rsid w:val="1400331C"/>
    <w:rsid w:val="144D7798"/>
    <w:rsid w:val="160A36CB"/>
    <w:rsid w:val="161D68B6"/>
    <w:rsid w:val="175A6ADD"/>
    <w:rsid w:val="17D631C0"/>
    <w:rsid w:val="18664544"/>
    <w:rsid w:val="186D58D3"/>
    <w:rsid w:val="189E2632"/>
    <w:rsid w:val="18B20AD8"/>
    <w:rsid w:val="19482B0D"/>
    <w:rsid w:val="19602878"/>
    <w:rsid w:val="1978684F"/>
    <w:rsid w:val="19AC41D9"/>
    <w:rsid w:val="19CC1F3E"/>
    <w:rsid w:val="1A187E6F"/>
    <w:rsid w:val="1A7448EC"/>
    <w:rsid w:val="1B0A2A25"/>
    <w:rsid w:val="1B3F2E2B"/>
    <w:rsid w:val="1C3B4F04"/>
    <w:rsid w:val="1D883942"/>
    <w:rsid w:val="1D9C0337"/>
    <w:rsid w:val="1E886EB2"/>
    <w:rsid w:val="1F2058D0"/>
    <w:rsid w:val="1FAE2BFE"/>
    <w:rsid w:val="1FB02549"/>
    <w:rsid w:val="202C717A"/>
    <w:rsid w:val="2063103B"/>
    <w:rsid w:val="207874CD"/>
    <w:rsid w:val="21863561"/>
    <w:rsid w:val="22F015DA"/>
    <w:rsid w:val="23DF1103"/>
    <w:rsid w:val="258F5689"/>
    <w:rsid w:val="26E42E09"/>
    <w:rsid w:val="27814EF7"/>
    <w:rsid w:val="297A702E"/>
    <w:rsid w:val="29804D3A"/>
    <w:rsid w:val="29B80978"/>
    <w:rsid w:val="2A6B17A5"/>
    <w:rsid w:val="2A7A6782"/>
    <w:rsid w:val="2A81520E"/>
    <w:rsid w:val="2A900789"/>
    <w:rsid w:val="2B36550E"/>
    <w:rsid w:val="2BC1204F"/>
    <w:rsid w:val="2CD245E9"/>
    <w:rsid w:val="2D2E54AB"/>
    <w:rsid w:val="2DA91F13"/>
    <w:rsid w:val="2E4E5407"/>
    <w:rsid w:val="2EE74662"/>
    <w:rsid w:val="2F363375"/>
    <w:rsid w:val="30DE2A8F"/>
    <w:rsid w:val="31E65727"/>
    <w:rsid w:val="325408DC"/>
    <w:rsid w:val="33044C2E"/>
    <w:rsid w:val="33B6631B"/>
    <w:rsid w:val="33F040B5"/>
    <w:rsid w:val="35C6299D"/>
    <w:rsid w:val="35E67354"/>
    <w:rsid w:val="36266C69"/>
    <w:rsid w:val="3729557B"/>
    <w:rsid w:val="37A163A1"/>
    <w:rsid w:val="37B62C35"/>
    <w:rsid w:val="37BB407F"/>
    <w:rsid w:val="37D228B5"/>
    <w:rsid w:val="38264609"/>
    <w:rsid w:val="38E62A19"/>
    <w:rsid w:val="398C5B06"/>
    <w:rsid w:val="3A334355"/>
    <w:rsid w:val="3B2460D6"/>
    <w:rsid w:val="3B6B3A9C"/>
    <w:rsid w:val="3C4E2A76"/>
    <w:rsid w:val="3C7626F9"/>
    <w:rsid w:val="3C830972"/>
    <w:rsid w:val="3DF5764D"/>
    <w:rsid w:val="3DFE0DAB"/>
    <w:rsid w:val="3EA9630C"/>
    <w:rsid w:val="3EFE77B4"/>
    <w:rsid w:val="3F850EA5"/>
    <w:rsid w:val="40F66D3A"/>
    <w:rsid w:val="41250249"/>
    <w:rsid w:val="41E73751"/>
    <w:rsid w:val="41FD4863"/>
    <w:rsid w:val="42B54A94"/>
    <w:rsid w:val="432E67FF"/>
    <w:rsid w:val="43321338"/>
    <w:rsid w:val="43FF66BD"/>
    <w:rsid w:val="4407512F"/>
    <w:rsid w:val="4439400C"/>
    <w:rsid w:val="44801C3A"/>
    <w:rsid w:val="44D15F95"/>
    <w:rsid w:val="4561399A"/>
    <w:rsid w:val="45B33453"/>
    <w:rsid w:val="46DF533E"/>
    <w:rsid w:val="46E11854"/>
    <w:rsid w:val="47134FE8"/>
    <w:rsid w:val="473A2575"/>
    <w:rsid w:val="48D22A15"/>
    <w:rsid w:val="494D2A33"/>
    <w:rsid w:val="49B146E5"/>
    <w:rsid w:val="49CF6293"/>
    <w:rsid w:val="49D92519"/>
    <w:rsid w:val="4C746F8D"/>
    <w:rsid w:val="4CE05E98"/>
    <w:rsid w:val="4D1025A0"/>
    <w:rsid w:val="4D1A06D8"/>
    <w:rsid w:val="4E546612"/>
    <w:rsid w:val="4F060FF8"/>
    <w:rsid w:val="4F604B42"/>
    <w:rsid w:val="4F806DC1"/>
    <w:rsid w:val="4FD64FD4"/>
    <w:rsid w:val="4FDD6193"/>
    <w:rsid w:val="506A211C"/>
    <w:rsid w:val="506E3921"/>
    <w:rsid w:val="50D84B21"/>
    <w:rsid w:val="50FC2DA7"/>
    <w:rsid w:val="51652096"/>
    <w:rsid w:val="52EA12F3"/>
    <w:rsid w:val="535029F5"/>
    <w:rsid w:val="5402441A"/>
    <w:rsid w:val="541D74A6"/>
    <w:rsid w:val="54470AE9"/>
    <w:rsid w:val="55026C44"/>
    <w:rsid w:val="56F760C7"/>
    <w:rsid w:val="579A2C51"/>
    <w:rsid w:val="5806097D"/>
    <w:rsid w:val="580705D1"/>
    <w:rsid w:val="59294FFB"/>
    <w:rsid w:val="59D35201"/>
    <w:rsid w:val="59D627B7"/>
    <w:rsid w:val="59D93E6F"/>
    <w:rsid w:val="5A496F58"/>
    <w:rsid w:val="5A9A35FE"/>
    <w:rsid w:val="5CD526CC"/>
    <w:rsid w:val="5D6A0EC8"/>
    <w:rsid w:val="5DDF6EAB"/>
    <w:rsid w:val="5E3B1A66"/>
    <w:rsid w:val="5E45506A"/>
    <w:rsid w:val="5EAC1B52"/>
    <w:rsid w:val="5EB41F82"/>
    <w:rsid w:val="5EF34F95"/>
    <w:rsid w:val="5F6E2684"/>
    <w:rsid w:val="5FFC5A7B"/>
    <w:rsid w:val="604E1113"/>
    <w:rsid w:val="61390579"/>
    <w:rsid w:val="623F6A34"/>
    <w:rsid w:val="630662E3"/>
    <w:rsid w:val="630E05B0"/>
    <w:rsid w:val="63166BB6"/>
    <w:rsid w:val="64243F39"/>
    <w:rsid w:val="64436AB5"/>
    <w:rsid w:val="64B60048"/>
    <w:rsid w:val="64EA6F30"/>
    <w:rsid w:val="657038D9"/>
    <w:rsid w:val="657809E0"/>
    <w:rsid w:val="65E902E3"/>
    <w:rsid w:val="6669098E"/>
    <w:rsid w:val="670A5668"/>
    <w:rsid w:val="676D7ED9"/>
    <w:rsid w:val="6A431371"/>
    <w:rsid w:val="6AA933EA"/>
    <w:rsid w:val="6B415DDD"/>
    <w:rsid w:val="6B9F6CC6"/>
    <w:rsid w:val="6D635AD2"/>
    <w:rsid w:val="6F314651"/>
    <w:rsid w:val="6F35524C"/>
    <w:rsid w:val="6F655B31"/>
    <w:rsid w:val="6FBF07B3"/>
    <w:rsid w:val="6FDB6BB5"/>
    <w:rsid w:val="6FE741A1"/>
    <w:rsid w:val="72063B93"/>
    <w:rsid w:val="72353C9D"/>
    <w:rsid w:val="72B62E69"/>
    <w:rsid w:val="72E53E2F"/>
    <w:rsid w:val="746B4BB5"/>
    <w:rsid w:val="748123E0"/>
    <w:rsid w:val="75274A85"/>
    <w:rsid w:val="75695C4F"/>
    <w:rsid w:val="75B82733"/>
    <w:rsid w:val="76B5004F"/>
    <w:rsid w:val="77244553"/>
    <w:rsid w:val="77A30CCA"/>
    <w:rsid w:val="78727511"/>
    <w:rsid w:val="78CC4E73"/>
    <w:rsid w:val="7938355A"/>
    <w:rsid w:val="79E44733"/>
    <w:rsid w:val="79F33F14"/>
    <w:rsid w:val="7ABD1787"/>
    <w:rsid w:val="7DBD65C0"/>
    <w:rsid w:val="7DCF4375"/>
    <w:rsid w:val="7DE67D76"/>
    <w:rsid w:val="7E077EB3"/>
    <w:rsid w:val="7E0806FB"/>
    <w:rsid w:val="7ED1073A"/>
    <w:rsid w:val="7EFF5445"/>
    <w:rsid w:val="7F5B485B"/>
    <w:rsid w:val="7FBD1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name="toc 3"/>
    <w:lsdException w:qFormat="1" w:unhideWhenUsed="0" w:uiPriority="0" w:name="toc 4" w:locked="1"/>
    <w:lsdException w:qFormat="1" w:unhideWhenUsed="0" w:uiPriority="0" w:name="toc 5" w:locked="1"/>
    <w:lsdException w:qFormat="1" w:unhideWhenUsed="0" w:uiPriority="0" w:name="toc 6" w:locked="1"/>
    <w:lsdException w:qFormat="1" w:unhideWhenUsed="0" w:uiPriority="0" w:name="toc 7" w:locked="1"/>
    <w:lsdException w:qFormat="1" w:unhideWhenUsed="0" w:uiPriority="0" w:name="toc 8" w:locked="1"/>
    <w:lsdException w:qFormat="1" w:unhideWhenUsed="0" w:uiPriority="0" w:name="toc 9" w:locked="1"/>
    <w:lsdException w:qFormat="1" w:unhideWhenUsed="0" w:uiPriority="0" w:semiHidden="0" w:name="Normal Indent"/>
    <w:lsdException w:uiPriority="99" w:name="footnote text"/>
    <w:lsdException w:qFormat="1" w:unhideWhenUsed="0" w:uiPriority="99" w:name="annotation text"/>
    <w:lsdException w:uiPriority="99" w:name="header"/>
    <w:lsdException w:qFormat="1"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ocked="1"/>
    <w:lsdException w:qFormat="1" w:unhideWhenUsed="0"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0"/>
    <w:qFormat/>
    <w:uiPriority w:val="99"/>
    <w:pPr>
      <w:keepLines/>
      <w:pageBreakBefore/>
      <w:spacing w:before="340" w:after="330" w:line="578" w:lineRule="auto"/>
      <w:jc w:val="center"/>
      <w:outlineLvl w:val="0"/>
    </w:pPr>
    <w:rPr>
      <w:rFonts w:eastAsia="黑体"/>
      <w:b/>
      <w:kern w:val="44"/>
      <w:sz w:val="32"/>
      <w:szCs w:val="20"/>
    </w:rPr>
  </w:style>
  <w:style w:type="paragraph" w:styleId="3">
    <w:name w:val="heading 2"/>
    <w:basedOn w:val="1"/>
    <w:next w:val="1"/>
    <w:link w:val="37"/>
    <w:qFormat/>
    <w:uiPriority w:val="99"/>
    <w:pPr>
      <w:keepNext/>
      <w:keepLines/>
      <w:spacing w:before="260" w:after="260" w:line="416" w:lineRule="auto"/>
      <w:outlineLvl w:val="1"/>
    </w:pPr>
    <w:rPr>
      <w:rFonts w:ascii="Arial" w:hAnsi="Arial" w:eastAsia="黑体"/>
      <w:b/>
      <w:kern w:val="0"/>
      <w:sz w:val="32"/>
      <w:szCs w:val="20"/>
    </w:rPr>
  </w:style>
  <w:style w:type="paragraph" w:styleId="4">
    <w:name w:val="heading 3"/>
    <w:basedOn w:val="1"/>
    <w:next w:val="1"/>
    <w:link w:val="35"/>
    <w:qFormat/>
    <w:uiPriority w:val="99"/>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locked/>
    <w:uiPriority w:val="0"/>
    <w:pPr>
      <w:ind w:left="1260"/>
      <w:jc w:val="left"/>
    </w:pPr>
    <w:rPr>
      <w:rFonts w:ascii="Times New Roman" w:hAnsi="Times New Roman"/>
      <w:sz w:val="18"/>
      <w:szCs w:val="18"/>
    </w:rPr>
  </w:style>
  <w:style w:type="paragraph" w:styleId="6">
    <w:name w:val="Normal Indent"/>
    <w:basedOn w:val="1"/>
    <w:qFormat/>
    <w:uiPriority w:val="0"/>
    <w:pPr>
      <w:spacing w:line="440" w:lineRule="exact"/>
      <w:ind w:firstLine="420"/>
    </w:pPr>
    <w:rPr>
      <w:rFonts w:ascii="Times New Roman" w:hAnsi="Times New Roman" w:eastAsia="仿宋_GB2312"/>
      <w:sz w:val="28"/>
      <w:szCs w:val="28"/>
    </w:rPr>
  </w:style>
  <w:style w:type="paragraph" w:styleId="7">
    <w:name w:val="caption"/>
    <w:basedOn w:val="1"/>
    <w:next w:val="1"/>
    <w:unhideWhenUsed/>
    <w:qFormat/>
    <w:locked/>
    <w:uiPriority w:val="0"/>
    <w:rPr>
      <w:rFonts w:ascii="Cambria" w:hAnsi="Cambria" w:eastAsia="黑体"/>
      <w:sz w:val="20"/>
      <w:szCs w:val="20"/>
    </w:rPr>
  </w:style>
  <w:style w:type="paragraph" w:styleId="8">
    <w:name w:val="Document Map"/>
    <w:basedOn w:val="1"/>
    <w:link w:val="43"/>
    <w:semiHidden/>
    <w:qFormat/>
    <w:uiPriority w:val="99"/>
    <w:rPr>
      <w:rFonts w:ascii="宋体"/>
      <w:kern w:val="0"/>
      <w:sz w:val="18"/>
      <w:szCs w:val="20"/>
    </w:rPr>
  </w:style>
  <w:style w:type="paragraph" w:styleId="9">
    <w:name w:val="annotation text"/>
    <w:basedOn w:val="1"/>
    <w:link w:val="42"/>
    <w:semiHidden/>
    <w:qFormat/>
    <w:uiPriority w:val="99"/>
    <w:pPr>
      <w:jc w:val="left"/>
    </w:pPr>
    <w:rPr>
      <w:kern w:val="0"/>
      <w:sz w:val="20"/>
      <w:szCs w:val="20"/>
    </w:rPr>
  </w:style>
  <w:style w:type="paragraph" w:styleId="10">
    <w:name w:val="Body Text Indent"/>
    <w:basedOn w:val="1"/>
    <w:link w:val="32"/>
    <w:qFormat/>
    <w:uiPriority w:val="99"/>
    <w:pPr>
      <w:spacing w:after="120"/>
      <w:ind w:left="420" w:leftChars="200"/>
    </w:pPr>
    <w:rPr>
      <w:kern w:val="0"/>
      <w:sz w:val="20"/>
      <w:szCs w:val="20"/>
    </w:rPr>
  </w:style>
  <w:style w:type="paragraph" w:styleId="11">
    <w:name w:val="toc 5"/>
    <w:basedOn w:val="1"/>
    <w:next w:val="1"/>
    <w:semiHidden/>
    <w:qFormat/>
    <w:locked/>
    <w:uiPriority w:val="0"/>
    <w:pPr>
      <w:ind w:left="840"/>
      <w:jc w:val="left"/>
    </w:pPr>
    <w:rPr>
      <w:rFonts w:ascii="Times New Roman" w:hAnsi="Times New Roman"/>
      <w:sz w:val="18"/>
      <w:szCs w:val="18"/>
    </w:rPr>
  </w:style>
  <w:style w:type="paragraph" w:styleId="12">
    <w:name w:val="toc 3"/>
    <w:basedOn w:val="1"/>
    <w:next w:val="1"/>
    <w:semiHidden/>
    <w:qFormat/>
    <w:uiPriority w:val="39"/>
    <w:pPr>
      <w:ind w:left="420"/>
      <w:jc w:val="left"/>
    </w:pPr>
    <w:rPr>
      <w:rFonts w:ascii="Times New Roman" w:hAnsi="Times New Roman"/>
      <w:i/>
      <w:iCs/>
      <w:sz w:val="20"/>
      <w:szCs w:val="20"/>
    </w:rPr>
  </w:style>
  <w:style w:type="paragraph" w:styleId="13">
    <w:name w:val="Plain Text"/>
    <w:basedOn w:val="1"/>
    <w:link w:val="41"/>
    <w:qFormat/>
    <w:uiPriority w:val="99"/>
    <w:rPr>
      <w:rFonts w:ascii="宋体" w:hAnsi="Courier New"/>
      <w:szCs w:val="20"/>
    </w:rPr>
  </w:style>
  <w:style w:type="paragraph" w:styleId="14">
    <w:name w:val="toc 8"/>
    <w:basedOn w:val="1"/>
    <w:next w:val="1"/>
    <w:semiHidden/>
    <w:qFormat/>
    <w:locked/>
    <w:uiPriority w:val="0"/>
    <w:pPr>
      <w:ind w:left="1470"/>
      <w:jc w:val="left"/>
    </w:pPr>
    <w:rPr>
      <w:rFonts w:ascii="Times New Roman" w:hAnsi="Times New Roman"/>
      <w:sz w:val="18"/>
      <w:szCs w:val="18"/>
    </w:rPr>
  </w:style>
  <w:style w:type="paragraph" w:styleId="15">
    <w:name w:val="Body Text Indent 2"/>
    <w:basedOn w:val="1"/>
    <w:link w:val="34"/>
    <w:unhideWhenUsed/>
    <w:qFormat/>
    <w:uiPriority w:val="99"/>
    <w:pPr>
      <w:spacing w:after="120" w:line="480" w:lineRule="auto"/>
      <w:ind w:left="420" w:leftChars="200"/>
    </w:pPr>
  </w:style>
  <w:style w:type="paragraph" w:styleId="16">
    <w:name w:val="Balloon Text"/>
    <w:basedOn w:val="1"/>
    <w:link w:val="36"/>
    <w:semiHidden/>
    <w:qFormat/>
    <w:uiPriority w:val="99"/>
    <w:rPr>
      <w:kern w:val="0"/>
      <w:sz w:val="16"/>
      <w:szCs w:val="20"/>
    </w:rPr>
  </w:style>
  <w:style w:type="paragraph" w:styleId="17">
    <w:name w:val="footer"/>
    <w:basedOn w:val="1"/>
    <w:link w:val="33"/>
    <w:unhideWhenUsed/>
    <w:qFormat/>
    <w:uiPriority w:val="99"/>
    <w:pPr>
      <w:tabs>
        <w:tab w:val="center" w:pos="4153"/>
        <w:tab w:val="right" w:pos="8306"/>
      </w:tabs>
      <w:snapToGrid w:val="0"/>
      <w:jc w:val="left"/>
    </w:pPr>
    <w:rPr>
      <w:sz w:val="18"/>
      <w:szCs w:val="18"/>
    </w:rPr>
  </w:style>
  <w:style w:type="paragraph" w:styleId="18">
    <w:name w:val="toc 1"/>
    <w:basedOn w:val="1"/>
    <w:next w:val="1"/>
    <w:qFormat/>
    <w:uiPriority w:val="39"/>
    <w:pPr>
      <w:tabs>
        <w:tab w:val="right" w:leader="dot" w:pos="8302"/>
      </w:tabs>
      <w:spacing w:before="120" w:after="120" w:line="360" w:lineRule="auto"/>
      <w:jc w:val="left"/>
    </w:pPr>
    <w:rPr>
      <w:rFonts w:ascii="Times New Roman" w:hAnsi="Times New Roman"/>
      <w:b/>
      <w:bCs/>
      <w:caps/>
      <w:sz w:val="20"/>
      <w:szCs w:val="20"/>
    </w:rPr>
  </w:style>
  <w:style w:type="paragraph" w:styleId="19">
    <w:name w:val="toc 4"/>
    <w:basedOn w:val="1"/>
    <w:next w:val="1"/>
    <w:semiHidden/>
    <w:qFormat/>
    <w:locked/>
    <w:uiPriority w:val="0"/>
    <w:pPr>
      <w:ind w:left="630"/>
      <w:jc w:val="left"/>
    </w:pPr>
    <w:rPr>
      <w:rFonts w:ascii="Times New Roman" w:hAnsi="Times New Roman"/>
      <w:sz w:val="18"/>
      <w:szCs w:val="18"/>
    </w:rPr>
  </w:style>
  <w:style w:type="paragraph" w:styleId="20">
    <w:name w:val="toc 6"/>
    <w:basedOn w:val="1"/>
    <w:next w:val="1"/>
    <w:semiHidden/>
    <w:qFormat/>
    <w:locked/>
    <w:uiPriority w:val="0"/>
    <w:pPr>
      <w:ind w:left="1050"/>
      <w:jc w:val="left"/>
    </w:pPr>
    <w:rPr>
      <w:rFonts w:ascii="Times New Roman" w:hAnsi="Times New Roman"/>
      <w:sz w:val="18"/>
      <w:szCs w:val="18"/>
    </w:rPr>
  </w:style>
  <w:style w:type="paragraph" w:styleId="21">
    <w:name w:val="toc 2"/>
    <w:basedOn w:val="1"/>
    <w:next w:val="1"/>
    <w:qFormat/>
    <w:uiPriority w:val="39"/>
    <w:pPr>
      <w:ind w:left="210"/>
      <w:jc w:val="left"/>
    </w:pPr>
    <w:rPr>
      <w:rFonts w:ascii="Times New Roman" w:hAnsi="Times New Roman"/>
      <w:smallCaps/>
      <w:sz w:val="20"/>
      <w:szCs w:val="20"/>
    </w:rPr>
  </w:style>
  <w:style w:type="paragraph" w:styleId="22">
    <w:name w:val="toc 9"/>
    <w:basedOn w:val="1"/>
    <w:next w:val="1"/>
    <w:semiHidden/>
    <w:qFormat/>
    <w:locked/>
    <w:uiPriority w:val="0"/>
    <w:pPr>
      <w:ind w:left="1680"/>
      <w:jc w:val="left"/>
    </w:pPr>
    <w:rPr>
      <w:rFonts w:ascii="Times New Roman" w:hAnsi="Times New Roman"/>
      <w:sz w:val="18"/>
      <w:szCs w:val="18"/>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annotation subject"/>
    <w:basedOn w:val="9"/>
    <w:next w:val="9"/>
    <w:semiHidden/>
    <w:qFormat/>
    <w:uiPriority w:val="0"/>
    <w:rPr>
      <w:b/>
      <w:bCs/>
      <w:kern w:val="2"/>
      <w:sz w:val="21"/>
      <w:szCs w:val="22"/>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2"/>
    <w:rPr>
      <w:rFonts w:cs="Times New Roman"/>
      <w:b/>
    </w:rPr>
  </w:style>
  <w:style w:type="character" w:styleId="29">
    <w:name w:val="page number"/>
    <w:qFormat/>
    <w:uiPriority w:val="99"/>
    <w:rPr>
      <w:rFonts w:cs="Times New Roman"/>
    </w:rPr>
  </w:style>
  <w:style w:type="character" w:styleId="30">
    <w:name w:val="Hyperlink"/>
    <w:qFormat/>
    <w:uiPriority w:val="99"/>
    <w:rPr>
      <w:rFonts w:cs="Times New Roman"/>
      <w:color w:val="0000FF"/>
      <w:u w:val="single"/>
    </w:rPr>
  </w:style>
  <w:style w:type="character" w:styleId="31">
    <w:name w:val="annotation reference"/>
    <w:semiHidden/>
    <w:qFormat/>
    <w:uiPriority w:val="99"/>
    <w:rPr>
      <w:rFonts w:cs="Times New Roman"/>
      <w:sz w:val="21"/>
    </w:rPr>
  </w:style>
  <w:style w:type="character" w:customStyle="1" w:styleId="32">
    <w:name w:val="正文文本缩进 字符"/>
    <w:link w:val="10"/>
    <w:semiHidden/>
    <w:qFormat/>
    <w:locked/>
    <w:uiPriority w:val="99"/>
    <w:rPr>
      <w:rFonts w:cs="Times New Roman"/>
    </w:rPr>
  </w:style>
  <w:style w:type="character" w:customStyle="1" w:styleId="33">
    <w:name w:val="页脚 字符"/>
    <w:link w:val="17"/>
    <w:qFormat/>
    <w:uiPriority w:val="99"/>
    <w:rPr>
      <w:kern w:val="2"/>
      <w:sz w:val="18"/>
      <w:szCs w:val="18"/>
    </w:rPr>
  </w:style>
  <w:style w:type="character" w:customStyle="1" w:styleId="34">
    <w:name w:val="正文文本缩进 2 字符"/>
    <w:link w:val="15"/>
    <w:semiHidden/>
    <w:qFormat/>
    <w:uiPriority w:val="99"/>
    <w:rPr>
      <w:kern w:val="2"/>
      <w:sz w:val="21"/>
      <w:szCs w:val="22"/>
    </w:rPr>
  </w:style>
  <w:style w:type="character" w:customStyle="1" w:styleId="35">
    <w:name w:val="标题 3 字符"/>
    <w:link w:val="4"/>
    <w:semiHidden/>
    <w:qFormat/>
    <w:locked/>
    <w:uiPriority w:val="99"/>
    <w:rPr>
      <w:rFonts w:ascii="Calibri" w:hAnsi="Calibri" w:eastAsia="宋体" w:cs="Times New Roman"/>
      <w:b/>
      <w:bCs/>
      <w:kern w:val="2"/>
      <w:sz w:val="32"/>
      <w:szCs w:val="32"/>
      <w:lang w:val="en-US" w:eastAsia="zh-CN" w:bidi="ar-SA"/>
    </w:rPr>
  </w:style>
  <w:style w:type="character" w:customStyle="1" w:styleId="36">
    <w:name w:val="批注框文本 字符"/>
    <w:link w:val="16"/>
    <w:semiHidden/>
    <w:qFormat/>
    <w:locked/>
    <w:uiPriority w:val="99"/>
    <w:rPr>
      <w:sz w:val="16"/>
    </w:rPr>
  </w:style>
  <w:style w:type="character" w:customStyle="1" w:styleId="37">
    <w:name w:val="标题 2 字符"/>
    <w:link w:val="3"/>
    <w:qFormat/>
    <w:locked/>
    <w:uiPriority w:val="99"/>
    <w:rPr>
      <w:rFonts w:ascii="Arial" w:hAnsi="Arial" w:eastAsia="黑体"/>
      <w:b/>
      <w:sz w:val="32"/>
    </w:rPr>
  </w:style>
  <w:style w:type="character" w:customStyle="1" w:styleId="38">
    <w:name w:val="Quote Char"/>
    <w:link w:val="39"/>
    <w:qFormat/>
    <w:locked/>
    <w:uiPriority w:val="99"/>
    <w:rPr>
      <w:rFonts w:ascii="Calibri" w:hAnsi="Calibri" w:eastAsia="宋体" w:cs="Times New Roman"/>
      <w:i/>
      <w:iCs/>
      <w:color w:val="000000"/>
      <w:kern w:val="2"/>
      <w:sz w:val="22"/>
      <w:szCs w:val="22"/>
      <w:lang w:val="en-US" w:eastAsia="zh-CN" w:bidi="ar-SA"/>
    </w:rPr>
  </w:style>
  <w:style w:type="paragraph" w:customStyle="1" w:styleId="39">
    <w:name w:val="引用1"/>
    <w:basedOn w:val="1"/>
    <w:next w:val="1"/>
    <w:link w:val="38"/>
    <w:qFormat/>
    <w:uiPriority w:val="99"/>
    <w:rPr>
      <w:i/>
      <w:iCs/>
      <w:color w:val="000000"/>
      <w:sz w:val="22"/>
    </w:rPr>
  </w:style>
  <w:style w:type="character" w:customStyle="1" w:styleId="40">
    <w:name w:val="标题 1 字符"/>
    <w:link w:val="2"/>
    <w:qFormat/>
    <w:locked/>
    <w:uiPriority w:val="99"/>
    <w:rPr>
      <w:rFonts w:eastAsia="黑体"/>
      <w:b/>
      <w:kern w:val="44"/>
      <w:sz w:val="32"/>
    </w:rPr>
  </w:style>
  <w:style w:type="character" w:customStyle="1" w:styleId="41">
    <w:name w:val="纯文本 字符"/>
    <w:link w:val="13"/>
    <w:qFormat/>
    <w:locked/>
    <w:uiPriority w:val="99"/>
    <w:rPr>
      <w:rFonts w:ascii="宋体" w:hAnsi="Courier New" w:eastAsia="宋体" w:cs="Times New Roman"/>
      <w:kern w:val="2"/>
      <w:sz w:val="21"/>
      <w:lang w:val="en-US" w:eastAsia="zh-CN" w:bidi="ar-SA"/>
    </w:rPr>
  </w:style>
  <w:style w:type="character" w:customStyle="1" w:styleId="42">
    <w:name w:val="批注文字 字符"/>
    <w:link w:val="9"/>
    <w:semiHidden/>
    <w:qFormat/>
    <w:locked/>
    <w:uiPriority w:val="99"/>
    <w:rPr>
      <w:rFonts w:ascii="Calibri" w:hAnsi="Calibri" w:eastAsia="宋体"/>
    </w:rPr>
  </w:style>
  <w:style w:type="character" w:customStyle="1" w:styleId="43">
    <w:name w:val="文档结构图 字符"/>
    <w:link w:val="8"/>
    <w:semiHidden/>
    <w:qFormat/>
    <w:locked/>
    <w:uiPriority w:val="99"/>
    <w:rPr>
      <w:rFonts w:ascii="宋体" w:eastAsia="宋体"/>
      <w:sz w:val="18"/>
    </w:rPr>
  </w:style>
  <w:style w:type="paragraph" w:customStyle="1" w:styleId="44">
    <w:name w:val="列出段落1"/>
    <w:basedOn w:val="1"/>
    <w:qFormat/>
    <w:uiPriority w:val="99"/>
    <w:pPr>
      <w:ind w:firstLine="420" w:firstLineChars="200"/>
    </w:pPr>
    <w:rPr>
      <w:rFonts w:cs="Calibri"/>
      <w:szCs w:val="21"/>
    </w:rPr>
  </w:style>
  <w:style w:type="paragraph" w:customStyle="1" w:styleId="45">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lang w:eastAsia="ja-JP"/>
    </w:rPr>
  </w:style>
  <w:style w:type="paragraph" w:customStyle="1" w:styleId="46">
    <w:name w:val="正文 New"/>
    <w:qFormat/>
    <w:uiPriority w:val="99"/>
    <w:pPr>
      <w:adjustRightInd w:val="0"/>
    </w:pPr>
    <w:rPr>
      <w:rFonts w:ascii="Arial" w:hAnsi="Arial" w:eastAsia="宋体" w:cs="Times New Roman"/>
      <w:lang w:val="en-US" w:eastAsia="zh-CN" w:bidi="ar-SA"/>
    </w:rPr>
  </w:style>
  <w:style w:type="paragraph" w:customStyle="1" w:styleId="47">
    <w:name w:val="TOC 标题1"/>
    <w:basedOn w:val="2"/>
    <w:next w:val="1"/>
    <w:qFormat/>
    <w:uiPriority w:val="99"/>
    <w:pPr>
      <w:widowControl/>
      <w:tabs>
        <w:tab w:val="left" w:pos="420"/>
      </w:tabs>
      <w:spacing w:before="480" w:after="0" w:line="276" w:lineRule="auto"/>
      <w:ind w:left="420" w:hanging="420"/>
      <w:jc w:val="left"/>
      <w:outlineLvl w:val="9"/>
    </w:pPr>
    <w:rPr>
      <w:rFonts w:ascii="Cambria" w:hAnsi="Cambria" w:cs="Cambria"/>
      <w:color w:val="365F91"/>
      <w:kern w:val="0"/>
      <w:sz w:val="28"/>
      <w:szCs w:val="28"/>
    </w:rPr>
  </w:style>
  <w:style w:type="paragraph" w:customStyle="1" w:styleId="48">
    <w:name w:val="正文 New New New New"/>
    <w:qFormat/>
    <w:uiPriority w:val="0"/>
    <w:pPr>
      <w:adjustRightInd w:val="0"/>
    </w:pPr>
    <w:rPr>
      <w:rFonts w:ascii="Arial" w:hAnsi="Arial" w:eastAsia="宋体" w:cs="Times New Roman"/>
      <w:lang w:val="en-US" w:eastAsia="zh-CN" w:bidi="ar-SA"/>
    </w:rPr>
  </w:style>
  <w:style w:type="paragraph" w:styleId="49">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50">
    <w:name w:val="标题2"/>
    <w:basedOn w:val="2"/>
    <w:qFormat/>
    <w:uiPriority w:val="0"/>
    <w:pPr>
      <w:keepNext/>
      <w:pageBreakBefore w:val="0"/>
      <w:jc w:val="left"/>
    </w:pPr>
    <w:rPr>
      <w:sz w:val="28"/>
      <w:szCs w:val="28"/>
    </w:rPr>
  </w:style>
  <w:style w:type="paragraph" w:customStyle="1" w:styleId="51">
    <w:name w:val="Char Char Char Char"/>
    <w:basedOn w:val="1"/>
    <w:qFormat/>
    <w:uiPriority w:val="0"/>
    <w:pPr>
      <w:adjustRightInd w:val="0"/>
      <w:spacing w:line="360" w:lineRule="auto"/>
    </w:pPr>
    <w:rPr>
      <w:rFonts w:ascii="Times New Roman" w:hAnsi="Times New Roman" w:eastAsia="仿宋_GB2312"/>
      <w:szCs w:val="24"/>
    </w:rPr>
  </w:style>
  <w:style w:type="paragraph" w:customStyle="1" w:styleId="52">
    <w:name w:val="Table Paragraph"/>
    <w:basedOn w:val="1"/>
    <w:qFormat/>
    <w:uiPriority w:val="1"/>
    <w:rPr>
      <w:rFonts w:ascii="宋体" w:hAnsi="宋体" w:cs="宋体"/>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I:\&#26757;&#27827;&#21475;&#22266;&#20307;&#24223;&#29289;&#27745;&#26579;&#38450;&#27835;&#8220;&#21313;&#22235;&#20116;&#8221;&#35268;&#21010;\A&#29615;&#20445;&#23616;&#25552;&#20379;&#36164;&#26009;\&#22266;&#20307;&#24223;&#29289;&#21313;&#22235;&#20116;&#35268;&#21010;&#25152;&#38656;&#36164;&#26009;\&#22266;&#20307;&#24223;&#29289;&#21313;&#22235;&#20116;&#35268;&#21010;&#25152;&#38656;&#36164;&#26009;\&#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I:\&#26757;&#27827;&#21475;&#22266;&#20307;&#24223;&#29289;&#27745;&#26579;&#38450;&#27835;&#8220;&#21313;&#22235;&#20116;&#8221;&#35268;&#21010;\A&#29615;&#20445;&#23616;&#25552;&#20379;&#36164;&#26009;\&#22266;&#20307;&#24223;&#29289;&#21313;&#22235;&#20116;&#35268;&#21010;&#25152;&#38656;&#36164;&#26009;\&#22266;&#20307;&#24223;&#29289;&#21313;&#22235;&#20116;&#35268;&#21010;&#25152;&#38656;&#36164;&#26009;\&#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a:t>梅河口市“十三五”一般固废产生及利用情况</a:t>
            </a:r>
            <a:endParaRPr lang="zh-CN" altLang="en-US" sz="1200"/>
          </a:p>
        </c:rich>
      </c:tx>
      <c:layout/>
      <c:overlay val="0"/>
      <c:spPr>
        <a:noFill/>
        <a:ln>
          <a:noFill/>
        </a:ln>
        <a:effectLst/>
      </c:spPr>
    </c:title>
    <c:autoTitleDeleted val="0"/>
    <c:plotArea>
      <c:layout/>
      <c:barChart>
        <c:barDir val="col"/>
        <c:grouping val="standard"/>
        <c:varyColors val="0"/>
        <c:ser>
          <c:idx val="0"/>
          <c:order val="0"/>
          <c:tx>
            <c:strRef>
              <c:f>Sheet2!$E$7</c:f>
              <c:strCache>
                <c:ptCount val="1"/>
                <c:pt idx="0">
                  <c:v>产生量（万吨）</c:v>
                </c:pt>
              </c:strCache>
            </c:strRef>
          </c:tx>
          <c:spPr>
            <a:solidFill>
              <a:schemeClr val="accent1"/>
            </a:solidFill>
            <a:ln>
              <a:noFill/>
            </a:ln>
            <a:effectLst/>
            <a:sp3d/>
          </c:spPr>
          <c:invertIfNegative val="0"/>
          <c:dLbls>
            <c:delete val="1"/>
          </c:dLbls>
          <c:cat>
            <c:strRef>
              <c:f>Sheet2!$F$6:$J$6</c:f>
              <c:strCache>
                <c:ptCount val="5"/>
                <c:pt idx="0">
                  <c:v>2016年</c:v>
                </c:pt>
                <c:pt idx="1">
                  <c:v>2017年</c:v>
                </c:pt>
                <c:pt idx="2">
                  <c:v>2018年</c:v>
                </c:pt>
                <c:pt idx="3">
                  <c:v>2019年</c:v>
                </c:pt>
                <c:pt idx="4">
                  <c:v>2020年</c:v>
                </c:pt>
              </c:strCache>
            </c:strRef>
          </c:cat>
          <c:val>
            <c:numRef>
              <c:f>Sheet2!$F$7:$J$7</c:f>
              <c:numCache>
                <c:formatCode>General</c:formatCode>
                <c:ptCount val="5"/>
                <c:pt idx="0">
                  <c:v>35.15031</c:v>
                </c:pt>
                <c:pt idx="1">
                  <c:v>44.35</c:v>
                </c:pt>
                <c:pt idx="2">
                  <c:v>34.737</c:v>
                </c:pt>
                <c:pt idx="3">
                  <c:v>43.4483</c:v>
                </c:pt>
                <c:pt idx="4">
                  <c:v>34.596</c:v>
                </c:pt>
              </c:numCache>
            </c:numRef>
          </c:val>
        </c:ser>
        <c:ser>
          <c:idx val="1"/>
          <c:order val="1"/>
          <c:tx>
            <c:strRef>
              <c:f>Sheet2!$E$8</c:f>
              <c:strCache>
                <c:ptCount val="1"/>
                <c:pt idx="0">
                  <c:v>利用量（万吨）</c:v>
                </c:pt>
              </c:strCache>
            </c:strRef>
          </c:tx>
          <c:spPr>
            <a:solidFill>
              <a:schemeClr val="accent2"/>
            </a:solidFill>
            <a:ln>
              <a:noFill/>
            </a:ln>
            <a:effectLst/>
            <a:sp3d/>
          </c:spPr>
          <c:invertIfNegative val="0"/>
          <c:dLbls>
            <c:delete val="1"/>
          </c:dLbls>
          <c:cat>
            <c:strRef>
              <c:f>Sheet2!$F$6:$J$6</c:f>
              <c:strCache>
                <c:ptCount val="5"/>
                <c:pt idx="0">
                  <c:v>2016年</c:v>
                </c:pt>
                <c:pt idx="1">
                  <c:v>2017年</c:v>
                </c:pt>
                <c:pt idx="2">
                  <c:v>2018年</c:v>
                </c:pt>
                <c:pt idx="3">
                  <c:v>2019年</c:v>
                </c:pt>
                <c:pt idx="4">
                  <c:v>2020年</c:v>
                </c:pt>
              </c:strCache>
            </c:strRef>
          </c:cat>
          <c:val>
            <c:numRef>
              <c:f>Sheet2!$F$8:$J$8</c:f>
              <c:numCache>
                <c:formatCode>General</c:formatCode>
                <c:ptCount val="5"/>
                <c:pt idx="0">
                  <c:v>35.15031</c:v>
                </c:pt>
                <c:pt idx="1">
                  <c:v>5.39</c:v>
                </c:pt>
                <c:pt idx="2">
                  <c:v>11.7714</c:v>
                </c:pt>
                <c:pt idx="3">
                  <c:v>66.3678</c:v>
                </c:pt>
                <c:pt idx="4">
                  <c:v>31.9473</c:v>
                </c:pt>
              </c:numCache>
            </c:numRef>
          </c:val>
        </c:ser>
        <c:ser>
          <c:idx val="2"/>
          <c:order val="2"/>
          <c:tx>
            <c:strRef>
              <c:f>Sheet2!$E$9</c:f>
              <c:strCache>
                <c:ptCount val="1"/>
                <c:pt idx="0">
                  <c:v>利用率%</c:v>
                </c:pt>
              </c:strCache>
            </c:strRef>
          </c:tx>
          <c:spPr>
            <a:solidFill>
              <a:schemeClr val="accent3"/>
            </a:solidFill>
            <a:ln>
              <a:noFill/>
            </a:ln>
            <a:effectLst/>
            <a:sp3d/>
          </c:spPr>
          <c:invertIfNegative val="0"/>
          <c:dLbls>
            <c:delete val="1"/>
          </c:dLbls>
          <c:cat>
            <c:strRef>
              <c:f>Sheet2!$F$6:$J$6</c:f>
              <c:strCache>
                <c:ptCount val="5"/>
                <c:pt idx="0">
                  <c:v>2016年</c:v>
                </c:pt>
                <c:pt idx="1">
                  <c:v>2017年</c:v>
                </c:pt>
                <c:pt idx="2">
                  <c:v>2018年</c:v>
                </c:pt>
                <c:pt idx="3">
                  <c:v>2019年</c:v>
                </c:pt>
                <c:pt idx="4">
                  <c:v>2020年</c:v>
                </c:pt>
              </c:strCache>
            </c:strRef>
          </c:cat>
          <c:val>
            <c:numRef>
              <c:f>Sheet2!$F$9:$J$9</c:f>
              <c:numCache>
                <c:formatCode>General</c:formatCode>
                <c:ptCount val="5"/>
                <c:pt idx="0">
                  <c:v>100</c:v>
                </c:pt>
                <c:pt idx="1">
                  <c:v>12.15</c:v>
                </c:pt>
                <c:pt idx="2">
                  <c:v>33.89</c:v>
                </c:pt>
                <c:pt idx="3">
                  <c:v>100</c:v>
                </c:pt>
                <c:pt idx="4" c:formatCode="0.00_);[Red]\(0.00\)">
                  <c:v>92.34</c:v>
                </c:pt>
              </c:numCache>
            </c:numRef>
          </c:val>
        </c:ser>
        <c:dLbls>
          <c:showLegendKey val="0"/>
          <c:showVal val="0"/>
          <c:showCatName val="0"/>
          <c:showSerName val="0"/>
          <c:showPercent val="0"/>
          <c:showBubbleSize val="0"/>
        </c:dLbls>
        <c:gapWidth val="150"/>
        <c:axId val="548087888"/>
        <c:axId val="548089200"/>
      </c:barChart>
      <c:catAx>
        <c:axId val="548087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8089200"/>
        <c:crosses val="autoZero"/>
        <c:auto val="1"/>
        <c:lblAlgn val="ctr"/>
        <c:lblOffset val="100"/>
        <c:noMultiLvlLbl val="0"/>
      </c:catAx>
      <c:valAx>
        <c:axId val="54808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8087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200" b="0" i="0" baseline="0">
                <a:effectLst/>
              </a:rPr>
              <a:t>梅河口市</a:t>
            </a:r>
            <a:r>
              <a:rPr lang="zh-CN" altLang="en-US" sz="1200" b="0" i="0" baseline="0">
                <a:effectLst/>
              </a:rPr>
              <a:t>“十三五”危险废物</a:t>
            </a:r>
            <a:r>
              <a:rPr lang="zh-CN" altLang="zh-CN" sz="1200" b="0" i="0" baseline="0">
                <a:effectLst/>
              </a:rPr>
              <a:t>产生及利用情况</a:t>
            </a:r>
            <a:endParaRPr lang="zh-CN" altLang="zh-CN" sz="1050">
              <a:effectLst/>
            </a:endParaRPr>
          </a:p>
        </c:rich>
      </c:tx>
      <c:layout/>
      <c:overlay val="0"/>
      <c:spPr>
        <a:noFill/>
        <a:ln>
          <a:noFill/>
        </a:ln>
        <a:effectLst/>
      </c:spPr>
    </c:title>
    <c:autoTitleDeleted val="0"/>
    <c:plotArea>
      <c:layout/>
      <c:barChart>
        <c:barDir val="col"/>
        <c:grouping val="standard"/>
        <c:varyColors val="0"/>
        <c:ser>
          <c:idx val="0"/>
          <c:order val="0"/>
          <c:tx>
            <c:strRef>
              <c:f>Sheet2!$N$7</c:f>
              <c:strCache>
                <c:ptCount val="1"/>
                <c:pt idx="0">
                  <c:v>产生量（吨）</c:v>
                </c:pt>
              </c:strCache>
            </c:strRef>
          </c:tx>
          <c:spPr>
            <a:solidFill>
              <a:schemeClr val="accent1"/>
            </a:solidFill>
            <a:ln>
              <a:noFill/>
            </a:ln>
            <a:effectLst/>
            <a:sp3d/>
          </c:spPr>
          <c:invertIfNegative val="0"/>
          <c:dLbls>
            <c:delete val="1"/>
          </c:dLbls>
          <c:cat>
            <c:strRef>
              <c:f>Sheet2!$O$6:$S$6</c:f>
              <c:strCache>
                <c:ptCount val="5"/>
                <c:pt idx="0">
                  <c:v>2016年</c:v>
                </c:pt>
                <c:pt idx="1">
                  <c:v>2017年</c:v>
                </c:pt>
                <c:pt idx="2">
                  <c:v>2018年</c:v>
                </c:pt>
                <c:pt idx="3">
                  <c:v>2019年</c:v>
                </c:pt>
                <c:pt idx="4">
                  <c:v>2020年</c:v>
                </c:pt>
              </c:strCache>
            </c:strRef>
          </c:cat>
          <c:val>
            <c:numRef>
              <c:f>Sheet2!$O$7:$S$7</c:f>
              <c:numCache>
                <c:formatCode>General</c:formatCode>
                <c:ptCount val="5"/>
                <c:pt idx="0">
                  <c:v>78.4005</c:v>
                </c:pt>
                <c:pt idx="1">
                  <c:v>253.6729</c:v>
                </c:pt>
                <c:pt idx="2">
                  <c:v>147.0556</c:v>
                </c:pt>
                <c:pt idx="3">
                  <c:v>363.323</c:v>
                </c:pt>
                <c:pt idx="4">
                  <c:v>233.675</c:v>
                </c:pt>
              </c:numCache>
            </c:numRef>
          </c:val>
        </c:ser>
        <c:ser>
          <c:idx val="1"/>
          <c:order val="1"/>
          <c:tx>
            <c:strRef>
              <c:f>Sheet2!$N$8</c:f>
              <c:strCache>
                <c:ptCount val="1"/>
                <c:pt idx="0">
                  <c:v>安全处置量（吨）</c:v>
                </c:pt>
              </c:strCache>
            </c:strRef>
          </c:tx>
          <c:spPr>
            <a:solidFill>
              <a:schemeClr val="accent2"/>
            </a:solidFill>
            <a:ln>
              <a:noFill/>
            </a:ln>
            <a:effectLst/>
            <a:sp3d/>
          </c:spPr>
          <c:invertIfNegative val="0"/>
          <c:dLbls>
            <c:delete val="1"/>
          </c:dLbls>
          <c:cat>
            <c:strRef>
              <c:f>Sheet2!$O$6:$S$6</c:f>
              <c:strCache>
                <c:ptCount val="5"/>
                <c:pt idx="0">
                  <c:v>2016年</c:v>
                </c:pt>
                <c:pt idx="1">
                  <c:v>2017年</c:v>
                </c:pt>
                <c:pt idx="2">
                  <c:v>2018年</c:v>
                </c:pt>
                <c:pt idx="3">
                  <c:v>2019年</c:v>
                </c:pt>
                <c:pt idx="4">
                  <c:v>2020年</c:v>
                </c:pt>
              </c:strCache>
            </c:strRef>
          </c:cat>
          <c:val>
            <c:numRef>
              <c:f>Sheet2!$O$8:$S$8</c:f>
              <c:numCache>
                <c:formatCode>General</c:formatCode>
                <c:ptCount val="5"/>
                <c:pt idx="0">
                  <c:v>78.4005</c:v>
                </c:pt>
                <c:pt idx="1">
                  <c:v>253.6729</c:v>
                </c:pt>
                <c:pt idx="2">
                  <c:v>147.0556</c:v>
                </c:pt>
                <c:pt idx="3">
                  <c:v>363.323</c:v>
                </c:pt>
                <c:pt idx="4">
                  <c:v>233.675</c:v>
                </c:pt>
              </c:numCache>
            </c:numRef>
          </c:val>
        </c:ser>
        <c:ser>
          <c:idx val="2"/>
          <c:order val="2"/>
          <c:tx>
            <c:strRef>
              <c:f>Sheet2!$N$9</c:f>
              <c:strCache>
                <c:ptCount val="1"/>
                <c:pt idx="0">
                  <c:v/>
                </c:pt>
              </c:strCache>
            </c:strRef>
          </c:tx>
          <c:spPr>
            <a:solidFill>
              <a:schemeClr val="accent3"/>
            </a:solidFill>
            <a:ln>
              <a:noFill/>
            </a:ln>
            <a:effectLst/>
            <a:sp3d/>
          </c:spPr>
          <c:invertIfNegative val="0"/>
          <c:dLbls>
            <c:delete val="1"/>
          </c:dLbls>
          <c:cat>
            <c:strRef>
              <c:f>Sheet2!$O$6:$S$6</c:f>
              <c:strCache>
                <c:ptCount val="5"/>
                <c:pt idx="0">
                  <c:v>2016年</c:v>
                </c:pt>
                <c:pt idx="1">
                  <c:v>2017年</c:v>
                </c:pt>
                <c:pt idx="2">
                  <c:v>2018年</c:v>
                </c:pt>
                <c:pt idx="3">
                  <c:v>2019年</c:v>
                </c:pt>
                <c:pt idx="4">
                  <c:v>2020年</c:v>
                </c:pt>
              </c:strCache>
            </c:strRef>
          </c:cat>
          <c:val>
            <c:numRef>
              <c:f>Sheet2!$O$9:$S$9</c:f>
              <c:numCache>
                <c:formatCode>General</c:formatCode>
                <c:ptCount val="5"/>
              </c:numCache>
            </c:numRef>
          </c:val>
        </c:ser>
        <c:ser>
          <c:idx val="3"/>
          <c:order val="3"/>
          <c:tx>
            <c:strRef>
              <c:f>Sheet2!$N$10</c:f>
              <c:strCache>
                <c:ptCount val="1"/>
                <c:pt idx="0">
                  <c:v>安全处置率%</c:v>
                </c:pt>
              </c:strCache>
            </c:strRef>
          </c:tx>
          <c:spPr>
            <a:solidFill>
              <a:schemeClr val="accent4"/>
            </a:solidFill>
            <a:ln>
              <a:noFill/>
            </a:ln>
            <a:effectLst/>
            <a:sp3d/>
          </c:spPr>
          <c:invertIfNegative val="0"/>
          <c:dLbls>
            <c:delete val="1"/>
          </c:dLbls>
          <c:cat>
            <c:strRef>
              <c:f>Sheet2!$O$6:$S$6</c:f>
              <c:strCache>
                <c:ptCount val="5"/>
                <c:pt idx="0">
                  <c:v>2016年</c:v>
                </c:pt>
                <c:pt idx="1">
                  <c:v>2017年</c:v>
                </c:pt>
                <c:pt idx="2">
                  <c:v>2018年</c:v>
                </c:pt>
                <c:pt idx="3">
                  <c:v>2019年</c:v>
                </c:pt>
                <c:pt idx="4">
                  <c:v>2020年</c:v>
                </c:pt>
              </c:strCache>
            </c:strRef>
          </c:cat>
          <c:val>
            <c:numRef>
              <c:f>Sheet2!$O$10:$S$10</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axId val="780416352"/>
        <c:axId val="780417336"/>
      </c:barChart>
      <c:catAx>
        <c:axId val="78041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417336"/>
        <c:crosses val="autoZero"/>
        <c:auto val="1"/>
        <c:lblAlgn val="ctr"/>
        <c:lblOffset val="100"/>
        <c:noMultiLvlLbl val="0"/>
      </c:catAx>
      <c:valAx>
        <c:axId val="780417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41635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73EBC2-FC44-4184-899A-F7A3974A4A78}">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48</Pages>
  <Words>21367</Words>
  <Characters>22350</Characters>
  <Lines>184</Lines>
  <Paragraphs>51</Paragraphs>
  <TotalTime>4</TotalTime>
  <ScaleCrop>false</ScaleCrop>
  <LinksUpToDate>false</LinksUpToDate>
  <CharactersWithSpaces>22534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2022-01-14T02:29:00Z</dcterms:created>
  <dc:creator>lanlan</dc:creator>
  <cp:lastModifiedBy>小新</cp:lastModifiedBy>
  <cp:lastPrinted>2022-05-12T05:35:00Z</cp:lastPrinted>
  <dcterms:modified xsi:type="dcterms:W3CDTF">2022-05-23T01:46:33Z</dcterms:modified>
  <dc:title>《大连市大气环境质量达标规划》编制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3EDB5961665C46DD811A30EE12DB8571</vt:lpwstr>
  </property>
  <property fmtid="{D5CDD505-2E9C-101B-9397-08002B2CF9AE}" pid="4" name="commondata">
    <vt:lpwstr>eyJoZGlkIjoiZDgwNzg2NmE2Y2Y5OTAyYmIyNTQ1MGIyNzJlZDQ4MDYifQ==</vt:lpwstr>
  </property>
</Properties>
</file>