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jc w:val="center"/>
        <w:rPr>
          <w:rFonts w:hint="eastAsia" w:ascii="方正小标宋_GBK" w:hAnsi="方正小标宋_GBK" w:eastAsia="方正小标宋_GBK" w:cs="方正小标宋_GBK"/>
          <w:sz w:val="44"/>
          <w:szCs w:val="44"/>
        </w:rPr>
      </w:pPr>
    </w:p>
    <w:p>
      <w:pPr>
        <w:numPr>
          <w:ilvl w:val="0"/>
          <w:numId w:val="0"/>
        </w:numPr>
        <w:spacing w:beforeLines="0" w:afterLines="0" w:line="70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梅河口市全面融入</w:t>
      </w:r>
    </w:p>
    <w:p>
      <w:pPr>
        <w:numPr>
          <w:ilvl w:val="0"/>
          <w:numId w:val="0"/>
        </w:numPr>
        <w:spacing w:beforeLines="0" w:afterLines="0" w:line="70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“长春现代化都市圈发展”实施方案</w:t>
      </w:r>
    </w:p>
    <w:p>
      <w:pPr>
        <w:pStyle w:val="4"/>
        <w:spacing w:beforeLines="0" w:afterLines="0"/>
        <w:outlineLvl w:val="9"/>
        <w:rPr>
          <w:rFonts w:hint="default" w:ascii="宋体"/>
          <w:sz w:val="36"/>
          <w:szCs w:val="36"/>
        </w:rPr>
      </w:pPr>
    </w:p>
    <w:p>
      <w:pPr>
        <w:spacing w:beforeLines="0" w:afterLines="0"/>
        <w:rPr>
          <w:rFonts w:hint="default" w:ascii="宋体" w:eastAsia="宋体"/>
          <w:b/>
          <w:sz w:val="36"/>
          <w:szCs w:val="36"/>
        </w:rPr>
      </w:pPr>
    </w:p>
    <w:p>
      <w:pPr>
        <w:pStyle w:val="4"/>
        <w:spacing w:beforeLines="0" w:afterLines="0"/>
        <w:outlineLvl w:val="9"/>
        <w:rPr>
          <w:rFonts w:hint="default" w:ascii="宋体"/>
          <w:sz w:val="36"/>
          <w:szCs w:val="36"/>
        </w:rPr>
      </w:pPr>
    </w:p>
    <w:p>
      <w:pPr>
        <w:spacing w:beforeLines="0" w:afterLines="0"/>
        <w:rPr>
          <w:rFonts w:hint="default" w:ascii="宋体" w:eastAsia="宋体"/>
          <w:b/>
          <w:sz w:val="36"/>
          <w:szCs w:val="36"/>
        </w:rPr>
      </w:pPr>
    </w:p>
    <w:p>
      <w:pPr>
        <w:pStyle w:val="4"/>
        <w:spacing w:beforeLines="0" w:afterLines="0"/>
        <w:outlineLvl w:val="9"/>
        <w:rPr>
          <w:rFonts w:hint="default" w:ascii="宋体"/>
          <w:sz w:val="36"/>
          <w:szCs w:val="36"/>
        </w:rPr>
      </w:pPr>
    </w:p>
    <w:p>
      <w:pPr>
        <w:spacing w:beforeLines="0" w:afterLines="0"/>
        <w:rPr>
          <w:rFonts w:hint="default" w:ascii="宋体" w:eastAsia="宋体"/>
          <w:b/>
          <w:sz w:val="36"/>
          <w:szCs w:val="36"/>
        </w:rPr>
      </w:pPr>
    </w:p>
    <w:p>
      <w:pPr>
        <w:pStyle w:val="2"/>
        <w:spacing w:beforeLines="0" w:afterLines="0"/>
        <w:rPr>
          <w:rFonts w:hint="default" w:ascii="宋体" w:eastAsia="宋体"/>
          <w:sz w:val="21"/>
          <w:szCs w:val="24"/>
        </w:rPr>
      </w:pPr>
    </w:p>
    <w:p>
      <w:pPr>
        <w:pStyle w:val="4"/>
        <w:spacing w:beforeLines="0" w:afterLines="0"/>
        <w:outlineLvl w:val="9"/>
        <w:rPr>
          <w:rFonts w:hint="default" w:ascii="宋体"/>
          <w:sz w:val="36"/>
          <w:szCs w:val="36"/>
        </w:rPr>
      </w:pPr>
    </w:p>
    <w:p>
      <w:pPr>
        <w:spacing w:beforeLines="0" w:afterLines="0"/>
        <w:rPr>
          <w:rFonts w:hint="default" w:ascii="宋体" w:eastAsia="宋体"/>
          <w:b/>
          <w:sz w:val="36"/>
          <w:szCs w:val="36"/>
        </w:rPr>
      </w:pPr>
    </w:p>
    <w:p>
      <w:pPr>
        <w:pStyle w:val="4"/>
        <w:spacing w:beforeLines="0" w:afterLines="0"/>
        <w:outlineLvl w:val="9"/>
        <w:rPr>
          <w:rFonts w:hint="eastAsia" w:ascii="Times New Roman" w:hAnsi="Times New Roman" w:eastAsia="Times New Roman" w:cs="Times New Roman"/>
          <w:b w:val="0"/>
          <w:sz w:val="44"/>
          <w:szCs w:val="44"/>
        </w:rPr>
      </w:pPr>
      <w:bookmarkStart w:id="0" w:name="_Toc26117"/>
      <w:bookmarkStart w:id="1" w:name="_Toc5256"/>
    </w:p>
    <w:p>
      <w:pPr>
        <w:pStyle w:val="4"/>
        <w:spacing w:beforeLines="0" w:afterLines="0"/>
        <w:outlineLvl w:val="9"/>
        <w:rPr>
          <w:rFonts w:hint="eastAsia" w:ascii="Times New Roman" w:hAnsi="Times New Roman" w:eastAsia="Times New Roman" w:cs="Times New Roman"/>
          <w:b w:val="0"/>
          <w:sz w:val="44"/>
          <w:szCs w:val="44"/>
        </w:rPr>
      </w:pPr>
      <w:r>
        <w:rPr>
          <w:rFonts w:hint="eastAsia" w:ascii="方正小标宋_GBK" w:hAnsi="方正小标宋_GBK" w:eastAsia="方正小标宋_GBK" w:cs="方正小标宋_GBK"/>
          <w:b w:val="0"/>
          <w:sz w:val="44"/>
          <w:szCs w:val="44"/>
        </w:rPr>
        <w:t>2023年12月</w:t>
      </w:r>
      <w:bookmarkEnd w:id="0"/>
      <w:bookmarkEnd w:id="1"/>
    </w:p>
    <w:p>
      <w:pPr>
        <w:spacing w:beforeLines="0" w:afterLines="0"/>
        <w:rPr>
          <w:rFonts w:hint="eastAsia"/>
          <w:sz w:val="21"/>
          <w:szCs w:val="24"/>
        </w:rPr>
      </w:pPr>
      <w:r>
        <w:rPr>
          <w:rFonts w:hint="eastAsia"/>
          <w:sz w:val="21"/>
          <w:szCs w:val="24"/>
        </w:rPr>
        <w:br w:type="page"/>
      </w:r>
    </w:p>
    <w:p>
      <w:pPr>
        <w:spacing w:beforeLines="0" w:afterLines="0" w:line="640" w:lineRule="exact"/>
        <w:jc w:val="center"/>
        <w:outlineLvl w:val="0"/>
        <w:rPr>
          <w:rFonts w:hint="eastAsia" w:ascii="方正小标宋_GBK" w:hAnsi="方正小标宋_GBK" w:eastAsia="方正小标宋_GBK" w:cs="方正小标宋_GBK"/>
          <w:sz w:val="44"/>
          <w:szCs w:val="44"/>
        </w:rPr>
      </w:pPr>
      <w:bookmarkStart w:id="2" w:name="_Toc4758"/>
      <w:bookmarkStart w:id="3" w:name="_Toc15592"/>
      <w:bookmarkStart w:id="4" w:name="_Toc9290"/>
      <w:r>
        <w:rPr>
          <w:rFonts w:hint="eastAsia" w:ascii="方正小标宋_GBK" w:hAnsi="方正小标宋_GBK" w:eastAsia="方正小标宋_GBK" w:cs="方正小标宋_GBK"/>
          <w:sz w:val="44"/>
          <w:szCs w:val="44"/>
        </w:rPr>
        <w:t>前  言</w:t>
      </w:r>
      <w:bookmarkEnd w:id="2"/>
      <w:bookmarkEnd w:id="3"/>
      <w:bookmarkEnd w:id="4"/>
    </w:p>
    <w:p>
      <w:pPr>
        <w:spacing w:beforeLines="0" w:afterLines="0" w:line="586" w:lineRule="exact"/>
        <w:ind w:firstLine="640" w:firstLineChars="200"/>
        <w:rPr>
          <w:rFonts w:hint="eastAsia" w:eastAsia="方正仿宋_GBK" w:cs="方正仿宋_GBK"/>
          <w:color w:val="000000"/>
          <w:sz w:val="32"/>
          <w:szCs w:val="32"/>
        </w:rPr>
      </w:pPr>
    </w:p>
    <w:p>
      <w:pPr>
        <w:spacing w:beforeLines="0" w:afterLines="0" w:line="586"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2021年，吉林省委、省政府做出全面实施“一主六双”高质量发展战略的决策部署，突出长春现代都市圈“一主”示范引领作用，辐射带动包括梅河口等全省各城市协同发展。《梅河口市国民经济和社会发展第十四个五年规划纲要》提出梅河口市主动承接长春产业转移，围绕与长春和周边区县互利共荣产业，探索收益共享模式，承担起长春现代化都市圈发展桥头堡的作用。</w:t>
      </w:r>
    </w:p>
    <w:p>
      <w:pPr>
        <w:spacing w:beforeLines="0" w:afterLines="0" w:line="586"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为落实“一主六双”高质量发展战略部署，全面融入长春现代化都市圈建设，全力构建梅河口高质量发展新格局，加快建设梅河新区和高质量发展先行示范区，根据《长春现代化都市圈发展规划（2021—2025年）》《梅河口市“一主六双”高质量发展战略实施方案》，编制《梅河口市全面融入“长春现代化都市圈发展”实施方案》（以下简称《实施方案》）。《实施方案》是推动梅河口市融入长春现代化都市圈建设的指导性文件，是编制相关专项规划、制定相关政策和布局重大项目的重要依据。</w:t>
      </w:r>
    </w:p>
    <w:p>
      <w:pPr>
        <w:spacing w:beforeLines="0" w:afterLines="0" w:line="586"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实施方案》范围主要包括梅河口市全域（即山城镇、海龙镇、红梅镇、新合镇、曙光镇、中和镇、进化镇、一座营镇、水道镇、康大营镇、牛心顶镇、黑山头镇、李炉乡、杏岭镇、双兴镇、兴华镇、吉乐乡、小杨满族朝鲜族乡、湾龙镇、梅河口高新区），总面积2178.89平方公里，2021年常住人口61.68万人。</w:t>
      </w:r>
    </w:p>
    <w:p>
      <w:pPr>
        <w:numPr>
          <w:ilvl w:val="0"/>
          <w:numId w:val="0"/>
        </w:numPr>
        <w:spacing w:beforeLines="0" w:afterLines="0" w:line="586" w:lineRule="exact"/>
        <w:outlineLvl w:val="0"/>
        <w:rPr>
          <w:rFonts w:hint="eastAsia" w:eastAsia="方正仿宋_GBK" w:cs="方正仿宋_GBK"/>
          <w:b/>
          <w:color w:val="000000"/>
          <w:sz w:val="32"/>
          <w:szCs w:val="32"/>
        </w:rPr>
        <w:sectPr>
          <w:footerReference r:id="rId4" w:type="default"/>
          <w:pgSz w:w="11906" w:h="16838"/>
          <w:pgMar w:top="1440" w:right="1587" w:bottom="1361" w:left="1587" w:header="851" w:footer="992" w:gutter="0"/>
          <w:lnNumType w:countBy="0" w:distance="360"/>
          <w:cols w:space="720" w:num="1"/>
          <w:docGrid w:type="lines" w:linePitch="312" w:charSpace="0"/>
        </w:sectPr>
      </w:pPr>
    </w:p>
    <w:p>
      <w:pPr>
        <w:numPr>
          <w:ilvl w:val="0"/>
          <w:numId w:val="0"/>
        </w:numPr>
        <w:spacing w:beforeLines="0" w:afterLines="0" w:line="560" w:lineRule="exact"/>
        <w:ind w:firstLine="640" w:firstLineChars="200"/>
        <w:outlineLvl w:val="0"/>
        <w:rPr>
          <w:rFonts w:hint="eastAsia" w:ascii="方正黑体_GBK" w:hAnsi="方正黑体_GBK" w:eastAsia="方正黑体_GBK" w:cs="方正黑体_GBK"/>
          <w:color w:val="000000"/>
          <w:sz w:val="32"/>
          <w:szCs w:val="32"/>
        </w:rPr>
      </w:pPr>
      <w:bookmarkStart w:id="5" w:name="_Toc7816"/>
      <w:r>
        <w:rPr>
          <w:rFonts w:hint="eastAsia" w:ascii="方正黑体_GBK" w:hAnsi="方正黑体_GBK" w:eastAsia="方正黑体_GBK" w:cs="方正黑体_GBK"/>
          <w:color w:val="000000"/>
          <w:sz w:val="32"/>
          <w:szCs w:val="32"/>
        </w:rPr>
        <w:t>一、发展基础和发展环境</w:t>
      </w:r>
      <w:bookmarkEnd w:id="5"/>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6" w:name="_Toc23343"/>
      <w:r>
        <w:rPr>
          <w:rFonts w:hint="eastAsia" w:ascii="方正楷体_GBK" w:hAnsi="方正楷体_GBK" w:eastAsia="方正楷体_GBK" w:cs="方正楷体_GBK"/>
          <w:color w:val="000000"/>
          <w:sz w:val="32"/>
          <w:szCs w:val="32"/>
        </w:rPr>
        <w:t>（一）发展基础</w:t>
      </w:r>
      <w:bookmarkEnd w:id="6"/>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梅河口市近年来综合实力逐年增强、发展活力持续释放、营商环境逐步优化，综合实力始终保持全省前列。经济稳步增长、产业协同发展、公共服务均等共享、生态环境绿色发展等优势，为梅河口市融入长春现代化都市圈奠定了坚实的基础。</w:t>
      </w:r>
    </w:p>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地理位置优越。</w:t>
      </w:r>
      <w:r>
        <w:rPr>
          <w:rFonts w:hint="eastAsia" w:eastAsia="方正仿宋_GBK" w:cs="方正仿宋_GBK"/>
          <w:color w:val="000000"/>
          <w:sz w:val="32"/>
          <w:szCs w:val="32"/>
        </w:rPr>
        <w:t>梅河口市位于吉林省东南部，全市幅员2178.89平方公里，距长春</w:t>
      </w:r>
      <w:r>
        <w:rPr>
          <w:rFonts w:hint="eastAsia" w:eastAsia="方正仿宋_GBK" w:cs="方正仿宋_GBK"/>
          <w:color w:val="000000"/>
          <w:sz w:val="32"/>
          <w:szCs w:val="32"/>
          <w:lang w:val="zh-TW" w:eastAsia="zh-TW"/>
        </w:rPr>
        <w:t>163</w:t>
      </w:r>
      <w:r>
        <w:rPr>
          <w:rFonts w:hint="eastAsia" w:eastAsia="方正仿宋_GBK" w:cs="方正仿宋_GBK"/>
          <w:color w:val="000000"/>
          <w:sz w:val="32"/>
          <w:szCs w:val="32"/>
        </w:rPr>
        <w:t>公里，距通化市区101公里，位于吉沈、长通两线交汇点，全市境内现有沈吉铁路（国铁Ⅰ级）、四梅铁路（国铁Ⅱ级）和梅集铁路（国铁Ⅱ级）三条铁路线路，是吉林省向南开放的门户和重要的商贸物流中心。</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经济稳步增长。</w:t>
      </w:r>
      <w:r>
        <w:rPr>
          <w:rFonts w:hint="eastAsia" w:eastAsia="方正仿宋_GBK" w:cs="方正仿宋_GBK"/>
          <w:color w:val="000000"/>
          <w:sz w:val="32"/>
          <w:szCs w:val="32"/>
        </w:rPr>
        <w:t>十三五期间，梅河口市主要经济指标保持15%以上速度增长，2022年地区生产总值290.09亿元，全口径财政收入27.52亿元，累计完成固定资产投资222.87亿元，其中域外投资超过80%，连续9年获得全省县域经济综合考评第1位。</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产业协同发展。</w:t>
      </w:r>
      <w:r>
        <w:rPr>
          <w:rFonts w:hint="eastAsia" w:eastAsia="方正仿宋_GBK" w:cs="方正仿宋_GBK"/>
          <w:color w:val="000000"/>
          <w:sz w:val="32"/>
          <w:szCs w:val="32"/>
        </w:rPr>
        <w:t>持续培育壮大主导产业，创新发展新兴产业，形成了多点支撑、多业并举、多元发展的“4+3+N”现代产业体系。医药健康产业优势凸显，保持年均30%以上速度增长，总量占全省20%，梅河口市中心医院与吉大大学第一医院合作，成立吉大一院梅河医院；食品加工产业提质增效，传统果仁产业在全球市场占有率提升到80%，荣获“中国皇粮御米之乡”称号；商贸物流产业持续集聚，投资兴建的传化物流港、农批冷链物流等项目，对商贸物流业发展提供强韧支撑，成为服务全省、辐射东北的商贸物流集散中心；现代服务业繁荣发展，建成国际会议会展中心，荣获中国优秀会展城市奖，被评为全省服务业先进地区，与长春市联合举办大型音乐会和体育赛事；旅游产业异军突起，2022年接待游客突破2000万人次，增长67%；旅游综合收入达到70亿元，增长17%；装备制造业、建筑及其配套产业蓄势赋能，梅河口市装备制造产业园与长春市形成了原材料、零部件配套等方面合作。</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公共服务共建共享。</w:t>
      </w:r>
      <w:r>
        <w:rPr>
          <w:rFonts w:hint="eastAsia" w:eastAsia="方正仿宋_GBK" w:cs="方正仿宋_GBK"/>
          <w:color w:val="000000"/>
          <w:sz w:val="32"/>
          <w:szCs w:val="32"/>
        </w:rPr>
        <w:t>梅河口市建成区域医疗中心、教育中心、文化体育中心。域外学生累计就学人数达到1万名，成功举办2023年将承办吉林省第十九届运动会，连续两年被评为“中国体育旅游精品目的地”。</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生态环境共保共治。</w:t>
      </w:r>
      <w:r>
        <w:rPr>
          <w:rFonts w:hint="eastAsia" w:eastAsia="方正仿宋_GBK" w:cs="方正仿宋_GBK"/>
          <w:color w:val="000000"/>
          <w:sz w:val="32"/>
          <w:szCs w:val="32"/>
        </w:rPr>
        <w:t>坚持用绿色理念发展梅河口市，加大秸秆禁烧管控力度，空气环境质量优良天数比例提高到90%，城市黑臭水体全部得到有效治理，实施“山水林田湖草”生态修复工程、“绿美梅河大地”工程，森林覆盖率达到30%。</w:t>
      </w:r>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7" w:name="_Toc885"/>
      <w:r>
        <w:rPr>
          <w:rFonts w:hint="eastAsia" w:ascii="方正楷体_GBK" w:hAnsi="方正楷体_GBK" w:eastAsia="方正楷体_GBK" w:cs="方正楷体_GBK"/>
          <w:color w:val="000000"/>
          <w:sz w:val="32"/>
          <w:szCs w:val="32"/>
        </w:rPr>
        <w:t>（二）发展形势</w:t>
      </w:r>
      <w:bookmarkEnd w:id="7"/>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发展机遇。</w:t>
      </w:r>
      <w:r>
        <w:rPr>
          <w:rFonts w:hint="eastAsia" w:eastAsia="方正仿宋_GBK" w:cs="方正仿宋_GBK"/>
          <w:color w:val="000000"/>
          <w:sz w:val="32"/>
          <w:szCs w:val="32"/>
        </w:rPr>
        <w:t>我国进入全面建设社会主义现代化国家的新发展阶段，党的十九届五中全会对现代化都市圈建设做出明确部署，为实现全面振兴，全方位振兴，吉林省委、省政府也作出了建设长春现代都市圈的批准，建设梅河新区、高质量发展先行示范区的决策部署，梅河口市自身也通过驱动战略，综合实力显著增强。走在全省发展前列，为新时代梅河口市积极融入长春现代化都市圈实现融合发展、协同推进注入了新能量。</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面临挑战。</w:t>
      </w:r>
      <w:r>
        <w:rPr>
          <w:rFonts w:hint="eastAsia" w:eastAsia="方正仿宋_GBK" w:cs="方正仿宋_GBK"/>
          <w:color w:val="000000"/>
          <w:sz w:val="32"/>
          <w:szCs w:val="32"/>
        </w:rPr>
        <w:t>在国际的大背景下，我国正在加速走向伟大复兴、建设社会主义现代化强国的征程上，梅河口市深度融入长春现代都市圈实现高质量发展面临着梅河口市经济总量不大、以医药健康为主导的产业支撑作用有待加强、助推经济社会发展的高层次人才优势有待进一步释放、创新体制机制仍不健全、与长春市分工协作水平有待提高等方面的问题，梅河口市融入长春现代化都市圈仍然存在挑战。</w:t>
      </w:r>
    </w:p>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重大意义。</w:t>
      </w:r>
      <w:r>
        <w:rPr>
          <w:rFonts w:hint="eastAsia" w:eastAsia="方正仿宋_GBK" w:cs="方正仿宋_GBK"/>
          <w:color w:val="000000"/>
          <w:sz w:val="32"/>
          <w:szCs w:val="32"/>
        </w:rPr>
        <w:t>梅河口市深度融入长春现代化都市圈，有利于推动梅河口市与长三角、珠三角等发达地区对接。有利于实施创新驱动发展战略，强化吉林省科技力量，增强自主创新能力，统筹与长春市互补协调发展。有利于发挥梅河口市作为吉林省现代化区域中心城市以及高质量发展先行示范区作用，引领梅河口市周边地区高质量发展。</w:t>
      </w:r>
    </w:p>
    <w:p>
      <w:pPr>
        <w:numPr>
          <w:ilvl w:val="0"/>
          <w:numId w:val="0"/>
        </w:numPr>
        <w:spacing w:beforeLines="0" w:afterLines="0" w:line="560" w:lineRule="exact"/>
        <w:ind w:firstLine="640" w:firstLineChars="200"/>
        <w:outlineLvl w:val="0"/>
        <w:rPr>
          <w:rFonts w:hint="eastAsia" w:ascii="方正黑体_GBK" w:hAnsi="方正黑体_GBK" w:eastAsia="方正黑体_GBK" w:cs="方正黑体_GBK"/>
          <w:color w:val="000000"/>
          <w:sz w:val="32"/>
          <w:szCs w:val="32"/>
        </w:rPr>
      </w:pPr>
      <w:bookmarkStart w:id="8" w:name="_Toc12512"/>
      <w:r>
        <w:rPr>
          <w:rFonts w:hint="eastAsia" w:ascii="方正黑体_GBK" w:hAnsi="方正黑体_GBK" w:eastAsia="方正黑体_GBK" w:cs="方正黑体_GBK"/>
          <w:color w:val="000000"/>
          <w:sz w:val="32"/>
          <w:szCs w:val="32"/>
        </w:rPr>
        <w:t>二、总体要求</w:t>
      </w:r>
      <w:bookmarkEnd w:id="8"/>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9" w:name="_Toc13081"/>
      <w:r>
        <w:rPr>
          <w:rFonts w:hint="eastAsia" w:ascii="方正楷体_GBK" w:hAnsi="方正楷体_GBK" w:eastAsia="方正楷体_GBK" w:cs="方正楷体_GBK"/>
          <w:color w:val="000000"/>
          <w:sz w:val="32"/>
          <w:szCs w:val="32"/>
        </w:rPr>
        <w:t>（一）指导思想</w:t>
      </w:r>
      <w:bookmarkEnd w:id="9"/>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全面贯彻习近平新时代中国特色社会主义思想，以党的二十大精神为指导，深入落实习近平总书记视察吉林重要讲话重要指示精神，坚持稳中求进总基调，立足新发展阶段，贯彻新发展理念，服务和融入新发展格局，紧扣省委“一主六双”高质量发展战略，全面落实市委“三三四四五五”战略部署，推动高质量发展、创造高品质生活、实现高效能治理。以支撑建设都市圈2小时通达圈辐射协作区为引领，以全面融入长（春）辽（源）通（化）发展带为目标，以建成吉林省现代化区域中心城市和高质量发展先行示范区为主攻方向，着力推动与都市圈基础设施互联互通、产业分工协同协作、公共服务共建共享、生态环境共保共治，为长春现代化都市圈建设提供重要支撑。</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0" w:name="_Toc21879"/>
      <w:r>
        <w:rPr>
          <w:rFonts w:hint="eastAsia" w:ascii="方正楷体_GBK" w:hAnsi="方正楷体_GBK" w:eastAsia="方正楷体_GBK" w:cs="方正楷体_GBK"/>
          <w:color w:val="000000"/>
          <w:sz w:val="32"/>
          <w:szCs w:val="32"/>
        </w:rPr>
        <w:t>（二）基本原则</w:t>
      </w:r>
      <w:bookmarkEnd w:id="10"/>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创新共建，协调共进。</w:t>
      </w:r>
      <w:r>
        <w:rPr>
          <w:rFonts w:hint="eastAsia" w:eastAsia="方正仿宋_GBK" w:cs="方正仿宋_GBK"/>
          <w:color w:val="000000"/>
          <w:sz w:val="32"/>
          <w:szCs w:val="32"/>
        </w:rPr>
        <w:t>把创新驱动发展摆在核心位置，推动科技创新与产业发展深度融合，促进梅河口市人才与长春市人才流动培养，实现资源共享，与周边城市联合打造区域联合共同体，形成以长春为核心的区域联动、分工协作的创新体系。</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数字牵引，开放合作。</w:t>
      </w:r>
      <w:r>
        <w:rPr>
          <w:rFonts w:hint="eastAsia" w:eastAsia="方正仿宋_GBK" w:cs="方正仿宋_GBK"/>
          <w:color w:val="000000"/>
          <w:sz w:val="32"/>
          <w:szCs w:val="32"/>
        </w:rPr>
        <w:t>将数字作为推动高质量发展的强劲动能，打造新型智慧都市圈。与发达地区开放合作，培育区域性合作和竞争新优势，营造与长春现代化都市圈市场统一开放、规则标准互认、要素自由流动的发展环境。</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发挥特长，分工协作。</w:t>
      </w:r>
      <w:r>
        <w:rPr>
          <w:rFonts w:hint="eastAsia" w:eastAsia="方正仿宋_GBK" w:cs="方正仿宋_GBK"/>
          <w:color w:val="000000"/>
          <w:sz w:val="32"/>
          <w:szCs w:val="32"/>
        </w:rPr>
        <w:t>树立都市圈一盘棋思想，发挥梅河口市在医药健康、食品加工、商贸物流、现代服务业、农业产业化等方面的独特优势，协同长春市产业协调发展，形成独具特色、分工明晰、优势凸显的协调发展新格局。</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绿色低碳，民生共享。</w:t>
      </w:r>
      <w:r>
        <w:rPr>
          <w:rFonts w:hint="eastAsia" w:eastAsia="方正仿宋_GBK" w:cs="方正仿宋_GBK"/>
          <w:color w:val="000000"/>
          <w:sz w:val="32"/>
          <w:szCs w:val="32"/>
        </w:rPr>
        <w:t>践行绿水青山就是金山银山的理念，推广绿色生产生活方式，探索经济发展和生态环境保护相辅相成、相得益彰的新路子。不断保障和改善民生，让参与长春现代化都市圈建设中的梅河口市居民获得更多幸福感、满足感。</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1" w:name="_Toc23021"/>
      <w:r>
        <w:rPr>
          <w:rFonts w:hint="eastAsia" w:ascii="方正楷体_GBK" w:hAnsi="方正楷体_GBK" w:eastAsia="方正楷体_GBK" w:cs="方正楷体_GBK"/>
          <w:color w:val="000000"/>
          <w:sz w:val="32"/>
          <w:szCs w:val="32"/>
        </w:rPr>
        <w:t>（三）发展目标</w:t>
      </w:r>
      <w:bookmarkEnd w:id="11"/>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到2025年，与长春现代化都市圈一体化发展水平进一步提升，基础设施和公共服务一体化程度不断提高，与都市圈成本分担和利益共享机制更加完善。都市圈2小时通达圈辐射协作区建设取得实质性进展，阻碍生产要素自由流动的行政壁垒和体制机制障碍基本消除，建成支撑都市圈高质量发展的吉林省现代化区域中心城市和高质量发展先行示范区。</w:t>
      </w:r>
    </w:p>
    <w:p>
      <w:pPr>
        <w:numPr>
          <w:ilvl w:val="0"/>
          <w:numId w:val="0"/>
        </w:numPr>
        <w:spacing w:beforeLines="0" w:afterLines="0" w:line="560" w:lineRule="exact"/>
        <w:ind w:firstLine="643" w:firstLineChars="200"/>
        <w:rPr>
          <w:rFonts w:hint="eastAsia" w:eastAsia="方正仿宋_GBK" w:cs="方正仿宋_GBK"/>
          <w:color w:val="000000"/>
          <w:sz w:val="32"/>
          <w:szCs w:val="32"/>
          <w:highlight w:val="yellow"/>
        </w:rPr>
      </w:pPr>
      <w:r>
        <w:rPr>
          <w:rFonts w:hint="eastAsia" w:eastAsia="方正仿宋_GBK" w:cs="方正仿宋_GBK"/>
          <w:b/>
          <w:color w:val="000000"/>
          <w:sz w:val="32"/>
          <w:szCs w:val="32"/>
        </w:rPr>
        <w:t>率先成为创新型现代化都市圈建设的桥头堡。</w:t>
      </w:r>
      <w:r>
        <w:rPr>
          <w:rFonts w:hint="eastAsia" w:eastAsia="方正仿宋_GBK" w:cs="方正仿宋_GBK"/>
          <w:color w:val="000000"/>
          <w:sz w:val="32"/>
          <w:szCs w:val="32"/>
        </w:rPr>
        <w:t>梅河口市科技竞争力显著提升，到“十四五”期末，实现“6868”奋斗目标。经济总量翻一番，达到600亿元以上；财政收入翻一番，达到80亿元以上；城区常住人口达到60万人；城市建成区面积达到80平方公里，梅河口市创新活力不断提升，“数字梅河口”工程建设实现重大进展。把梅河建设成为中国式现代化美好城市。</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率先成为协调型现代化都市圈建设的领头雁。</w:t>
      </w:r>
      <w:r>
        <w:rPr>
          <w:rFonts w:hint="eastAsia" w:eastAsia="方正仿宋_GBK" w:cs="方正仿宋_GBK"/>
          <w:color w:val="000000"/>
          <w:sz w:val="32"/>
          <w:szCs w:val="32"/>
        </w:rPr>
        <w:t>明确与长春市产业发展的分工，形成互补型发展格局。率先实现基本公共服务均等化，劳动年龄人口平均受教育程度稳步提高，公共服务便利共享水平位于全省前列。</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率先成为宜居型现代化都市圈的先行官。</w:t>
      </w:r>
      <w:r>
        <w:rPr>
          <w:rFonts w:hint="eastAsia" w:eastAsia="方正仿宋_GBK" w:cs="方正仿宋_GBK"/>
          <w:color w:val="000000"/>
          <w:sz w:val="32"/>
          <w:szCs w:val="32"/>
        </w:rPr>
        <w:t>山水林田湖草沙系统治理成效显著，突出环境问题得到治理，区域水环境质量明显改善，空气质量优良天数达到360以上，努力将梅河口市建设成为长春市的后花园。</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率先成为开放型现代化都市圈的排头兵。</w:t>
      </w:r>
      <w:r>
        <w:rPr>
          <w:rFonts w:hint="eastAsia" w:eastAsia="方正仿宋_GBK" w:cs="方正仿宋_GBK"/>
          <w:color w:val="000000"/>
          <w:sz w:val="32"/>
          <w:szCs w:val="32"/>
        </w:rPr>
        <w:t>现代化区域中心城市和高质量发展先行示范区的功能显著提升，会议会展经济大幅发展，市场主体数量增加，市场活力充分释放，营商环境逐年向好。</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率先成为共享型现代化都市圈的带头者。</w:t>
      </w:r>
      <w:r>
        <w:rPr>
          <w:rFonts w:hint="eastAsia" w:eastAsia="方正仿宋_GBK" w:cs="方正仿宋_GBK"/>
          <w:color w:val="000000"/>
          <w:sz w:val="32"/>
          <w:szCs w:val="32"/>
        </w:rPr>
        <w:t>积极增加优质公共服务资源供给，与都市圈内城市均衡配置，持续改善民生福祉，实现与都市圈内城市医疗、教育、文体资源共享，促进形成共享型现代化都市圈。</w:t>
      </w:r>
    </w:p>
    <w:p>
      <w:pPr>
        <w:numPr>
          <w:ilvl w:val="0"/>
          <w:numId w:val="0"/>
        </w:numPr>
        <w:spacing w:beforeLines="0" w:afterLines="0" w:line="560" w:lineRule="exact"/>
        <w:ind w:firstLine="640" w:firstLineChars="200"/>
        <w:outlineLvl w:val="0"/>
        <w:rPr>
          <w:rFonts w:hint="eastAsia" w:ascii="方正黑体_GBK" w:hAnsi="方正黑体_GBK" w:eastAsia="方正黑体_GBK" w:cs="方正黑体_GBK"/>
          <w:color w:val="000000"/>
          <w:sz w:val="32"/>
          <w:szCs w:val="32"/>
        </w:rPr>
      </w:pPr>
      <w:bookmarkStart w:id="12" w:name="_Toc5574"/>
      <w:r>
        <w:rPr>
          <w:rFonts w:hint="eastAsia" w:ascii="方正黑体_GBK" w:hAnsi="方正黑体_GBK" w:eastAsia="方正黑体_GBK" w:cs="方正黑体_GBK"/>
          <w:color w:val="000000"/>
          <w:sz w:val="32"/>
          <w:szCs w:val="32"/>
        </w:rPr>
        <w:t>三、提升医药行业创新发展能力</w:t>
      </w:r>
      <w:bookmarkEnd w:id="12"/>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3" w:name="_Toc8896"/>
      <w:r>
        <w:rPr>
          <w:rFonts w:hint="eastAsia" w:ascii="方正楷体_GBK" w:hAnsi="方正楷体_GBK" w:eastAsia="方正楷体_GBK" w:cs="方正楷体_GBK"/>
          <w:color w:val="000000"/>
          <w:sz w:val="32"/>
          <w:szCs w:val="32"/>
        </w:rPr>
        <w:t>（一）建设医药创新平台载体</w:t>
      </w:r>
      <w:bookmarkEnd w:id="13"/>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依托梅河口市医药健康产业发展的基础，坚持多元化、新型化、集群化、品牌化发展方向，以梅河口高新区医药健康产业为引领，整合全市医药资源，打造梅河口医药健康产业区域创新研发中心。大力推广中药产业和特医食品产业，重点培育生物药和医疗器械产业。持续引进天衡、鲁南等设立技术转移孵化、知识产权保护、中试等科创服务机构。以四环医药、国药集团、步长制药、弘美制药、万通集团等企业为主导，联合吉林省动物基源生化药物工程研究中心、国家水禽产业技术体系综合实验站、吉林农业大学、长春中医药大学等机构和高等院校，在梅河口高新区设立研发与检验检测机构。围绕健康医药、健康食品用品等产业需求，推进四环、步长、天衡、鲁南、冠界、麦孚等高新技术企业采取自建、共建、并购等方式建设产业研究院、中试基地、技术成果转化基地等协同创新平台，筹划成立“医药健康产业企业家联盟”。依托高校、科研院所和龙头企业组建生物医药、健康食品等产业技术研究院，联合开展行业共性技术开发和孵化，培育医药创新平台。加快推进中国科学院梅河口工作站建设，围绕都市圈建立起医药产业院士联盟。培育一批市场化运作、专业化服务的第三方新型研发组织，积极发展研发众包、设计众包等新型研发服务业态。</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4" w:name="_Toc9654"/>
      <w:r>
        <w:rPr>
          <w:rFonts w:hint="eastAsia" w:ascii="方正楷体_GBK" w:hAnsi="方正楷体_GBK" w:eastAsia="方正楷体_GBK" w:cs="方正楷体_GBK"/>
          <w:color w:val="000000"/>
          <w:sz w:val="32"/>
          <w:szCs w:val="32"/>
        </w:rPr>
        <w:t>（二）深化校地合作与吉浙合作</w:t>
      </w:r>
      <w:bookmarkEnd w:id="14"/>
    </w:p>
    <w:p>
      <w:pPr>
        <w:numPr>
          <w:ilvl w:val="0"/>
          <w:numId w:val="0"/>
        </w:numPr>
        <w:spacing w:beforeLines="0" w:afterLines="0" w:line="560" w:lineRule="exact"/>
        <w:ind w:firstLine="640" w:firstLineChars="200"/>
        <w:outlineLvl w:val="1"/>
        <w:rPr>
          <w:rFonts w:hint="eastAsia" w:eastAsia="方正仿宋_GBK" w:cs="方正仿宋_GBK"/>
          <w:color w:val="000000"/>
          <w:sz w:val="32"/>
          <w:szCs w:val="32"/>
        </w:rPr>
      </w:pPr>
      <w:r>
        <w:rPr>
          <w:rFonts w:hint="eastAsia" w:eastAsia="方正仿宋_GBK" w:cs="方正仿宋_GBK"/>
          <w:color w:val="000000"/>
          <w:sz w:val="32"/>
          <w:szCs w:val="32"/>
        </w:rPr>
        <w:t>加强梅河口市中心医院与吉大医院合作，设立吉大一院梅河口医院，引进吉大一院专家团队入驻梅河医院，通过团队支援、定期支援、帮扶创新、远程诊疗等方面举措，打造吉林省东南部区域医疗中心，推动医疗资源均衡布局，提高区域医疗服务水平，成为全省校地合作的典范。</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5" w:name="_Toc7385"/>
      <w:r>
        <w:rPr>
          <w:rFonts w:hint="eastAsia" w:ascii="方正楷体_GBK" w:hAnsi="方正楷体_GBK" w:eastAsia="方正楷体_GBK" w:cs="方正楷体_GBK"/>
          <w:color w:val="000000"/>
          <w:sz w:val="32"/>
          <w:szCs w:val="32"/>
        </w:rPr>
        <w:t>（三）构建医药产学研用创新联盟</w:t>
      </w:r>
      <w:bookmarkEnd w:id="15"/>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大力聚集四环制药、国药集团、步长制药等高成长性医药“种子”企业群落，汇集重点工程实验室、高校院所、新型研发机构，打造融合交流型创新社区，完善开放包容的创新制度环境，形成梅河口生物医药“雨林型”创新生态系统。推动开展科技联合攻关，鼓励梅河口市生物医药行业领军企业与吉林大学、吉林省中医中药研究院等科研院校开展产学研合作，借助科研院所的技术创新资源，提升企业创新能力和产品竞争力。引导和支持梅河口高新区龙头企业加入省级技术创新战略联盟，促进技术、成果、人才等创新要素的流动。引入经验丰富的专家学者，优化提升传统平台功能，构建完善的“创业苗圃－科技创业孵化器－中小企业加速器”一体化科技创业孵化链条。探索与都市圈内城市在健康医药、健康食品用品领域设立专业孵化器，形成“科技孵化+创业投资”“创业导师+专业孵化”“共性平台+创新网络”的人才孵化服务机制，建立企业内的创新项目育成机构以及面向行业的企业孵化器，促进产业集群发展和产业链良性发育。实施医药类科技成果应用示范工程，依托食用菌、松子仁、大米等特色资源优势，加快推进高附加值保健食品开发与产业化，重点开发膳食纤维、特殊膳食、营养配餐药膳等特色功能食品。立足现代中医药产业，致力建设面向东北亚、面向国际的中医药科技成果转化枢纽平台，发挥梅河口健康医药产业园在推动产、学、研合作创新方面的引领带动作用，提升梅河口市对都市圈生物医药领域的支撑作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eastAsia" w:ascii="方正仿宋_GBK" w:hAnsi="方正仿宋_GBK" w:eastAsia="方正仿宋_GBK" w:cs="方正仿宋_GBK"/>
                <w:sz w:val="28"/>
                <w:szCs w:val="28"/>
              </w:rPr>
            </w:pPr>
            <w:r>
              <w:rPr>
                <w:rFonts w:hint="eastAsia" w:eastAsia="方正仿宋_GBK"/>
                <w:b/>
                <w:color w:val="auto"/>
                <w:sz w:val="28"/>
                <w:szCs w:val="28"/>
              </w:rPr>
              <w:t>专栏1  生物医药产业重点项目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糖尿病药物产业基地、化学原料药产业基地、抗肿瘤药产业基地项目、四环制药固体制剂项目、吉林天衡英睿制药有限公司制剂车间建设项目、梅河口市医药健康特色产业园区科技孵化器项目、梅河口高新区医药健康产业园（一期）项目、智能光电医疗器械产业基地（智能光电医疗科技产业园）、医用冷敷贴项目、梅河口市医药健康特色产业园区基础设施配套项目</w:t>
            </w:r>
          </w:p>
        </w:tc>
      </w:tr>
    </w:tbl>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6" w:name="_Toc32336"/>
      <w:r>
        <w:rPr>
          <w:rFonts w:hint="eastAsia" w:ascii="方正楷体_GBK" w:hAnsi="方正楷体_GBK" w:eastAsia="方正楷体_GBK" w:cs="方正楷体_GBK"/>
          <w:color w:val="000000"/>
          <w:sz w:val="32"/>
          <w:szCs w:val="32"/>
        </w:rPr>
        <w:t>（四）打造区域医药健康人才培养高地</w:t>
      </w:r>
      <w:bookmarkEnd w:id="16"/>
    </w:p>
    <w:p>
      <w:p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以医药健康产业亟需的产业工人、应用型技术人才、创新型开发人才为重点，牵头建立都市圈人才共同招引和柔性使用机制，联合举办高层次人才专场招聘会、技能人才招聘会。创新“候鸟型”人才引进和使用机制，建立梅河口医药健康人才工作基地，吸引优秀人才来梅。激励医药行业人才入梅创新创业，依托梅河口康美职业技术学院，联合都市圈内医学院校，面向吉林省医药健康产业发展需求定向委培一批高质量从业人员，形成职业院校人才培养高地。积极引入健康医药领域专家院士，瞄准健康医药前沿技术，大力引进专业人才，探索建立与周边地区人才交流中心及大型猎头公司的合作模式，共享健康产业人才资源。提高高层次人才入梅待遇，扩大“吉享卡”在梅使用范围。选派具有较强发展潜质的中青年专家和后备人选，与国内外高等院校、科研院所、健康机构进行学术访问，与都市圈内其他地区进行人才资源交流，培养一支有较高知名度和影响力的健康医药产业带头人。</w:t>
      </w:r>
    </w:p>
    <w:p>
      <w:pPr>
        <w:numPr>
          <w:ilvl w:val="0"/>
          <w:numId w:val="0"/>
        </w:numPr>
        <w:spacing w:beforeLines="0" w:afterLines="0" w:line="560" w:lineRule="exact"/>
        <w:ind w:firstLine="640" w:firstLineChars="200"/>
        <w:outlineLvl w:val="0"/>
        <w:rPr>
          <w:rFonts w:hint="eastAsia" w:eastAsia="方正仿宋_GBK" w:cs="方正仿宋_GBK"/>
          <w:b/>
          <w:color w:val="000000"/>
          <w:sz w:val="32"/>
          <w:szCs w:val="32"/>
        </w:rPr>
      </w:pPr>
      <w:bookmarkStart w:id="17" w:name="_Toc28791"/>
      <w:r>
        <w:rPr>
          <w:rFonts w:hint="eastAsia" w:ascii="方正黑体_GBK" w:hAnsi="方正黑体_GBK" w:eastAsia="方正黑体_GBK" w:cs="方正黑体_GBK"/>
          <w:color w:val="000000"/>
          <w:sz w:val="32"/>
          <w:szCs w:val="32"/>
        </w:rPr>
        <w:t>四、推动重点产业分工协作</w:t>
      </w:r>
      <w:bookmarkEnd w:id="17"/>
    </w:p>
    <w:p>
      <w:p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推进梅河口与都市圈强化产业分工协作，加速产业转型升级，形成融合衔接、错位互补的产业协作新模式。在农产品加工、战略性新兴产业、现代服务业等方面实现与都市圈内各地区优势互补、协作发展，共同提升都市圈产业链供应链稳定性和竞争力，构建产业协同发展新格局。</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8" w:name="_Toc21707"/>
      <w:r>
        <w:rPr>
          <w:rFonts w:hint="eastAsia" w:ascii="方正楷体_GBK" w:hAnsi="方正楷体_GBK" w:eastAsia="方正楷体_GBK" w:cs="方正楷体_GBK"/>
          <w:color w:val="000000"/>
          <w:sz w:val="32"/>
          <w:szCs w:val="32"/>
        </w:rPr>
        <w:t>（一）加快发展农产品加工业</w:t>
      </w:r>
      <w:bookmarkEnd w:id="18"/>
    </w:p>
    <w:p>
      <w:p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依托梅河口市丰富的农产品资源优势和黑土地资源优势，连接农产品生产、加工、流通等环节，围绕果仁加工、白酒酿造、方便食品加工产业优势，推进冷链物流发展，建立食品供应链全面质量管理体系，保证食品质量安全。在壮大食品加工产业园的基础上，加强与大型电商平台合作对接，建设网络销售体系，打造都市圈农产品集散中心。</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酒类加工。</w:t>
      </w:r>
      <w:r>
        <w:rPr>
          <w:rFonts w:hint="eastAsia" w:eastAsia="方正仿宋_GBK" w:cs="方正仿宋_GBK"/>
          <w:color w:val="000000"/>
          <w:sz w:val="32"/>
          <w:szCs w:val="32"/>
        </w:rPr>
        <w:t>做足“水经济”，积极拓展酒精产业链条，重点支持阜康酒精、正方农牧等龙头企业做大做强，丰富保兴泉品种，持续扩大新梅城精酿啤酒产能，提高泸州老窖白酒生产基地效能，推广菊乃香清酒等项目面向全国市场，持续将花果酒延伸至长三角、珠三角、粤港澳大湾区、京津冀等地区，将梅河口酒业品牌打响、打亮。</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果仁、大米加工。</w:t>
      </w:r>
      <w:r>
        <w:rPr>
          <w:rFonts w:hint="eastAsia" w:eastAsia="方正仿宋_GBK" w:cs="方正仿宋_GBK"/>
          <w:color w:val="000000"/>
          <w:sz w:val="32"/>
          <w:szCs w:val="32"/>
        </w:rPr>
        <w:t>依托东北亚果仁质量安全示范区、中国松籽产业贸易和加工示范区建设，发挥世界最大的果仁生产加工基地优势，引导梅河口市果仁产业向精深加工方向发展。组建国有米业集团，提升梅河大米品牌塑造能力，保证梅河大米“吉林老字号”质量。擦亮“梅河果仁”“梅河大米”区域公用品牌，壮大果仁、大米等优势产业集群。</w:t>
      </w:r>
    </w:p>
    <w:p>
      <w:p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方便食品加工。</w:t>
      </w:r>
      <w:r>
        <w:rPr>
          <w:rFonts w:hint="eastAsia" w:eastAsia="方正仿宋_GBK" w:cs="方正仿宋_GBK"/>
          <w:color w:val="000000"/>
          <w:sz w:val="32"/>
          <w:szCs w:val="32"/>
        </w:rPr>
        <w:t>以红梅镇为重点，鼓励昌德、立元、澳隆等方便冷面、米线加工厂提升产量，打造方便食品加工基地，建设方便食品工业园区，形成产业集群，拉大方便食品产业链条，做足休闲食品、餐桌食品文章，积极融入“梅河臻品”区域公共品牌，持续扩大线上销售量。</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健康食品加工。</w:t>
      </w:r>
      <w:r>
        <w:rPr>
          <w:rFonts w:hint="eastAsia" w:eastAsia="方正仿宋_GBK" w:cs="方正仿宋_GBK"/>
          <w:color w:val="000000"/>
          <w:sz w:val="32"/>
          <w:szCs w:val="32"/>
        </w:rPr>
        <w:t>鼓励四环制药、津升药业、麦孚营养科技等龙头企业按照特医食品的生产条件，积极申请注册特殊医学用途配方食品。鼓励企业与高校、科研院所协同创新，建设特医食品研发平台，生产糖尿病、肾病、恶性肿瘤、肝病病人专用的全营养、特定全营养和非全营养配方食品，保障适用人群营养需求和食用安全。</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特色产品加工。</w:t>
      </w:r>
      <w:r>
        <w:rPr>
          <w:rFonts w:hint="eastAsia" w:eastAsia="方正仿宋_GBK" w:cs="方正仿宋_GBK"/>
          <w:color w:val="000000"/>
          <w:sz w:val="32"/>
          <w:szCs w:val="32"/>
        </w:rPr>
        <w:t>严抓梅河大米品牌建设，开发应用调质、营养强化、绿色存储等技术。做大做强松子仁精深加工，发展松子原油、松子食用油、松子饮品、松子日用品、松子保健品等特色优质产品。支持正方农牧、曙光农牧、万家福食品等畜禽产品、食用菌加工企业实施扩能改造、开发新产品、延伸产业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jc w:val="center"/>
              <w:rPr>
                <w:rFonts w:hint="eastAsia" w:ascii="方正仿宋_GBK" w:hAnsi="方正仿宋_GBK" w:eastAsia="方正仿宋_GBK" w:cs="方正仿宋_GBK"/>
                <w:color w:val="auto"/>
                <w:sz w:val="28"/>
                <w:szCs w:val="28"/>
              </w:rPr>
            </w:pPr>
            <w:r>
              <w:rPr>
                <w:rFonts w:hint="eastAsia" w:eastAsia="方正仿宋_GBK"/>
                <w:b/>
                <w:color w:val="auto"/>
                <w:sz w:val="28"/>
                <w:szCs w:val="28"/>
              </w:rPr>
              <w:t>专栏2  农产品加工业重点项目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医食品产业基地建设项目、立元食品厂米线加工项目、昌德食品有限公司甜玉米深加工项目、高新区健康食品产业园（二期）项目（正大集团方便米饭项目）、梅河口市高新区健康食品产业园（一期）项目、圻祥速冻食品和方便食品建设项目、辣白菜生产项目、权品山特色产品开口坚果生产线建设项目、泸州老窖白酒生产基地建设项目、精酿啤酒产业基地建设项目、菊乃香清酒公司新建生产项目、普川清酒建设项目、果仁产业园建设项目、梅河口市肉牛产业融合示范园建设项目（梅河皓月肉牛产销一体化项目）。</w:t>
            </w:r>
          </w:p>
        </w:tc>
      </w:tr>
    </w:tbl>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19" w:name="_Toc15397"/>
      <w:r>
        <w:rPr>
          <w:rFonts w:hint="eastAsia" w:ascii="方正楷体_GBK" w:hAnsi="方正楷体_GBK" w:eastAsia="方正楷体_GBK" w:cs="方正楷体_GBK"/>
          <w:color w:val="000000"/>
          <w:sz w:val="32"/>
          <w:szCs w:val="32"/>
        </w:rPr>
        <w:t>（二）强化战略性新兴产业</w:t>
      </w:r>
      <w:bookmarkEnd w:id="19"/>
    </w:p>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1.发展先进装备制造产业</w:t>
      </w:r>
    </w:p>
    <w:p>
      <w:p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充分发挥长春现代化都市圈制造业体系完备优势，锚定市场前沿和发展需求，补短板、锻长板，积极培育发展装备制造业，大力引进项目落地梅河口装备制造产业园。发挥头部企业带动集成作用，加大产业纵向垂直一体化整合力度，全力推进与长春旭阳集团汽车零部件生产项目合作，合力引入北汽集团建设现代新型汽车及零部件产业基地，推动吉林省福通贸易汽车座椅加工厂项目落地梅河口高新区。持续深化与中建八局、长春建工、上海五建、中如建工集团合作，发挥建筑业协会作用，组建建材集中采购平台，加强企业间原材料供应。加大装配式建筑推广力度，谋划建设建筑业配套产业园，推动建筑新型材料项目投产达效，围绕商砼、干粉砂浆销售，推广使用新工艺、新技术绿色节能建筑配套材料。推动建筑业配套园区起步建设，带动都市圈内装备制造业协同发展，积极承接长春装备制造业产业转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jc w:val="center"/>
              <w:rPr>
                <w:rFonts w:hint="eastAsia" w:ascii="方正仿宋_GBK" w:hAnsi="方正仿宋_GBK" w:eastAsia="方正仿宋_GBK" w:cs="方正仿宋_GBK"/>
                <w:sz w:val="28"/>
                <w:szCs w:val="28"/>
              </w:rPr>
            </w:pPr>
            <w:r>
              <w:rPr>
                <w:rFonts w:hint="eastAsia" w:eastAsia="方正仿宋_GBK"/>
                <w:b/>
                <w:color w:val="auto"/>
                <w:sz w:val="28"/>
                <w:szCs w:val="28"/>
              </w:rPr>
              <w:t>专栏3  装备制造产业重点项目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新型建筑装备五厂两站一中心一基地建设项目、装配式建筑产业基地建设项目、新型建筑材料项目、吉林远通路桥工程集团股份有限公司沥砼和商砼拌合站建设项目、绿可梅河口装配式建筑产业园项目、盛鑫新型建筑材料（赛柏斯）建设项目、梅河新区汽车产业园建设项目。</w:t>
            </w:r>
          </w:p>
        </w:tc>
      </w:tr>
    </w:tbl>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2.发展新一代信息技术产业</w:t>
      </w:r>
    </w:p>
    <w:p>
      <w:pPr>
        <w:spacing w:beforeLines="0" w:afterLines="0" w:line="560" w:lineRule="exact"/>
        <w:ind w:firstLine="640" w:firstLineChars="200"/>
        <w:rPr>
          <w:rFonts w:hint="eastAsia" w:ascii="仿宋" w:hAnsi="仿宋" w:eastAsia="仿宋" w:cs="仿宋"/>
          <w:sz w:val="30"/>
          <w:szCs w:val="30"/>
        </w:rPr>
      </w:pPr>
      <w:r>
        <w:rPr>
          <w:rFonts w:hint="eastAsia" w:eastAsia="方正仿宋_GBK" w:cs="方正仿宋_GBK"/>
          <w:color w:val="000000"/>
          <w:sz w:val="32"/>
          <w:szCs w:val="32"/>
        </w:rPr>
        <w:t>依托电子信息技术创新，培育发展5G应用、信息技术、软件应用、网络安全等一批新产业、新业态、新模式，推进医药、特医食品、方便食品、现代物流企业进行数智化改造升级，推进中成药、原料药数字化提取，在医药、特医食品中试、临床阶段，与吉大一院梅河医院合作，探索医疗数据资源应用价值。积极开展“数字+产业提升”工程，推动共享经济、电子商务、远程医疗、网络直播等新业态发展。深入实施工业互联网创新工程和“5G+工业互联网”融合发展工程，以软件开发应用、大数据网络信息平台建设为重点，促进原有传统产业在转型升级中形成新的主导产业。实施工业互联网标杆工厂建设行动，培育智能型企业样板工程，面向都市圈制造业产业集群，建设共享工业互联网平台，全面提升工业互联网平台企业的大数据资源掌控能力、技术支撑能力和价值挖掘能力，提高精准制造、敏捷制造能力，通过政策倾斜，培育都市圈信息技术产业新增长点。加快“数字梅河口”工程建设，实施梅河口公共资源交易中心、媒体融合数据平台、梅河口高新区大数据信息服务平台等重大工程，协同发展智慧城市、智慧社区、智慧园区、智慧建筑建设，大力发展数字政务服务应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jc w:val="center"/>
              <w:rPr>
                <w:rFonts w:hint="eastAsia" w:eastAsia="方正仿宋_GBK" w:cs="方正仿宋_GBK"/>
                <w:color w:val="000000"/>
                <w:sz w:val="28"/>
                <w:szCs w:val="28"/>
              </w:rPr>
            </w:pPr>
            <w:r>
              <w:rPr>
                <w:rFonts w:hint="eastAsia" w:eastAsia="方正仿宋_GBK" w:cs="方正仿宋_GBK"/>
                <w:b/>
                <w:color w:val="000000"/>
                <w:sz w:val="28"/>
                <w:szCs w:val="28"/>
              </w:rPr>
              <w:t>专栏4  信息技术产业重点项目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0" w:firstLineChars="200"/>
              <w:rPr>
                <w:rFonts w:hint="eastAsia" w:eastAsia="方正仿宋_GBK" w:cs="方正仿宋_GBK"/>
                <w:color w:val="000000"/>
                <w:sz w:val="28"/>
                <w:szCs w:val="28"/>
              </w:rPr>
            </w:pPr>
            <w:r>
              <w:rPr>
                <w:rFonts w:hint="eastAsia" w:eastAsia="方正仿宋_GBK" w:cs="方正仿宋_GBK"/>
                <w:color w:val="000000"/>
                <w:sz w:val="28"/>
                <w:szCs w:val="28"/>
              </w:rPr>
              <w:t>梅河口市医药、特医食品、方便食品、现代物流龙头企业数智化改造提升项目、梅河口市智慧旅游服务与运营平台建设项目、梅河口市智慧食安提升工程建设项目、梅河口市基层诊疗服务能力提升项目、教育信息化工程项目、媒体融合数据平台建设项目、梅河口市智慧养老项目、工业互联网创新工程建设项目、梅河口高新区大数据信息服务平台建设项目、梅河口市建设工程项目数字化智能远程监控平台项目、东北5G+大数据物流储运一体化建设项目、梅河口市公共资源交易中心项目、媒体融合数据平台建设项目、梅河口高新区大数据信息服务平台项目、数字梅河口工程项目、5G主城区及大乡镇覆盖工程、5G基站建设工程、智慧水务、智慧供热、智慧燃气、城市传输管网信息平台、智慧城管、梅河口市公共资源交易中心、梅河口市灾害防控保障中心（应急救援指挥保障平台）建设项目、公共安全视频监控建设联网应用项目、梅河口市生态环境保护监管大数据平台。</w:t>
            </w:r>
          </w:p>
        </w:tc>
      </w:tr>
    </w:tbl>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20" w:name="_Toc15115"/>
      <w:r>
        <w:rPr>
          <w:rFonts w:hint="eastAsia" w:ascii="方正楷体_GBK" w:hAnsi="方正楷体_GBK" w:eastAsia="方正楷体_GBK" w:cs="方正楷体_GBK"/>
          <w:color w:val="000000"/>
          <w:sz w:val="32"/>
          <w:szCs w:val="32"/>
        </w:rPr>
        <w:t>（三）持续推进现代服务业</w:t>
      </w:r>
      <w:bookmarkEnd w:id="20"/>
    </w:p>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1.发展文化体育业</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发展高质量文化产业。</w:t>
      </w:r>
      <w:r>
        <w:rPr>
          <w:rFonts w:hint="eastAsia" w:eastAsia="方正仿宋_GBK" w:cs="方正仿宋_GBK"/>
          <w:color w:val="000000"/>
          <w:kern w:val="0"/>
          <w:sz w:val="32"/>
          <w:szCs w:val="32"/>
          <w:lang w:bidi="ar"/>
        </w:rPr>
        <w:t>不断挖掘东北不夜城等知名文旅街区元素，逐步探索开发城市文创IP和衍生品开发，推出兼顾民俗、非遗、景区、地标等内容的梅河新区手伴系列文创产品。</w:t>
      </w:r>
    </w:p>
    <w:p>
      <w:p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推动两地博物馆间协同发展，注入现代文化活力，加强革命文物、历史建筑、非物质文化遗产保护合作与创新发展。打造特色文化街区和特色文化小镇，加快关东巷、关东文化广场文化基础设施建设，塑造文化节、演唱会等文化品牌，打造城市15分钟公共文化服务圈。</w:t>
      </w:r>
    </w:p>
    <w:p>
      <w:p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发展高水平体育产业。</w:t>
      </w:r>
      <w:r>
        <w:rPr>
          <w:rFonts w:hint="eastAsia" w:eastAsia="方正仿宋_GBK" w:cs="方正仿宋_GBK"/>
          <w:color w:val="000000"/>
          <w:kern w:val="0"/>
          <w:sz w:val="32"/>
          <w:szCs w:val="32"/>
          <w:lang w:bidi="ar"/>
        </w:rPr>
        <w:t>以“五馆两场”为依托，发挥大型赛事集聚功能，对接上级体育部门申请各项大项体育赛事承办权，积极筹办全国大学生射箭（射艺）锦标赛、八大杯乒乓球锦标赛、省运会、青少年锦标赛、全民健身展示大会等大型体育赛事，提升城市影响力；开展丰富多彩的体育赛事活动，提高人民群众文体生活质量。规划建设群众健身活动场所和设施，提升各类联赛参与范围，邀请周边县市开展联谊赛，全力打造东北赛事名城，发展群众体育和青少年体育培训。全面提升体育基础设施建设，打造城区10分钟健身圈，完善全民健身公共服务体系，加强体育组织管理，强化社会体育组织力量，打造百姓身边的健身组织，促进区域体育产业高质量发展。培育围绕健身康体开展新型服务业态，延伸产业链条，加快体育强市建设步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500" w:lineRule="exact"/>
              <w:jc w:val="center"/>
              <w:rPr>
                <w:rFonts w:hint="eastAsia" w:ascii="方正仿宋_GBK" w:hAnsi="方正仿宋_GBK" w:eastAsia="方正仿宋_GBK" w:cs="方正仿宋_GBK"/>
                <w:sz w:val="28"/>
                <w:szCs w:val="28"/>
              </w:rPr>
            </w:pPr>
            <w:r>
              <w:rPr>
                <w:rFonts w:hint="eastAsia" w:eastAsia="方正仿宋_GBK"/>
                <w:b/>
                <w:color w:val="auto"/>
                <w:sz w:val="28"/>
                <w:szCs w:val="28"/>
              </w:rPr>
              <w:t>专栏5  文体产业重点项目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7"/>
              <w:spacing w:beforeLines="0" w:afterLines="0" w:line="500" w:lineRule="exact"/>
              <w:ind w:firstLine="56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文体项目：</w:t>
            </w:r>
            <w:r>
              <w:rPr>
                <w:rFonts w:hint="eastAsia" w:ascii="方正仿宋_GBK" w:hAnsi="方正仿宋_GBK" w:eastAsia="方正仿宋_GBK" w:cs="方正仿宋_GBK"/>
                <w:sz w:val="28"/>
                <w:szCs w:val="28"/>
              </w:rPr>
              <w:t>体育公园功能升级工程、梅河口市红色旅游资源保护开发利用和提升工程、庆云摩崖石刻文物保护项目、歌舞大剧院项目</w:t>
            </w:r>
          </w:p>
          <w:p>
            <w:pPr>
              <w:numPr>
                <w:ilvl w:val="0"/>
                <w:numId w:val="0"/>
              </w:numPr>
              <w:spacing w:beforeLines="0" w:afterLines="0" w:line="500" w:lineRule="exact"/>
              <w:ind w:firstLine="562" w:firstLineChars="200"/>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b/>
                <w:kern w:val="44"/>
                <w:sz w:val="28"/>
                <w:szCs w:val="28"/>
              </w:rPr>
              <w:t>文化产业项目：</w:t>
            </w:r>
            <w:r>
              <w:rPr>
                <w:rFonts w:hint="eastAsia" w:ascii="方正仿宋_GBK" w:hAnsi="方正仿宋_GBK" w:eastAsia="方正仿宋_GBK" w:cs="方正仿宋_GBK"/>
                <w:kern w:val="44"/>
                <w:sz w:val="28"/>
                <w:szCs w:val="28"/>
              </w:rPr>
              <w:t>梅河口市文化创意产业园项目</w:t>
            </w:r>
          </w:p>
        </w:tc>
      </w:tr>
    </w:tbl>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2.发展旅游会展业</w:t>
      </w:r>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依托梅河旅游资源禀赋，签订梅河口市与长春两地政府间《促进旅游资源共享协议》，建立公共财政旅游发展引导基金，与长春现代化都市圈形成旅游环线，努力将梅河口市打造成长春市的后花园和会客厅。持续与长春旅行社建立长期合作关系，与东北国际旅行社结成“旅联体”联盟，增加梅河口至长春旅游直通车班次，促进梅-长旅游资源互补共享，有效嵌入长春市和梅河口市的旅游品牌，互换标准线路图，实现文旅产业增值增量。</w:t>
      </w:r>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围绕吉林省“世界级冰雪旅游目的地和世界著名生态旅游目的地”战略定位，立足自身旅游资源，推进以冰雪、康养、民族文化等特色生态旅游集聚区建设。巩固提升国家全域旅游示范区创建成果，打造梅河口市全域旅游基地，持续推动长春兴隆保税区梅河口分区项目，重点提升和串联五奎山、鸡冠山、梅小野星光花海、爨街美食不夜城、世基啤酒、海鲜夜市等品质化旅游目的地，携手策划精品旅游线路，培育夜间消费新业态。统筹旅游产品开发和线路设计，实行梅河口旅游“一票通”，统一跨区域旅游形象识别符号和宣传口号，组织景区联合宣传推广。打造以吉乐乡、小杨乡、湾龙镇、山城镇、曙光镇等乡镇为重点的休闲农业产业带，培育一批乡村旅游配套设施。发挥旅发集团引领作用，完善旅联体引客入梅政策。共建旅游服务监管平台，整合提升各类文旅特色资源，促进休闲旅游、红色旅游、体育旅游、研学旅行、乡村旅游融合发展。</w:t>
      </w:r>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依托梅河口国际会议会展中心，打造“中国夜经济峰会”“东北医药产业投资贸易洽谈会”“东北食品产业峰会”“中国国际坚果大会”等主题会议会展平台，推进泛都市圈会议资源合作，打造区域会议会展中心。逐步提高梅河口市路演层级，积极参与中国国际工业博览会、中国国际进口博览会，系统性开展“走进梅河口”系列活动，针对医药健康、汽车零部件、文旅产业、省级金融机构等领域，开展梅河口市主导产业主题推介、梅河口市产业发展论坛、金融助振兴系列活动。落实“旗动梅城 旗向未来”梅河新区赴中国一汽集团交流座谈会，配合一汽集团开展汽车产业会展活动。举办人工智能、车用芯片、医疗器械、精细化工、企业服务、优才创智等创新创业沙龙，充分发挥电商产业园创业大厦作用，提供创新创业实践场景，引导创业精英、高科技人才和团队打造创新工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500" w:lineRule="exact"/>
              <w:jc w:val="center"/>
              <w:rPr>
                <w:rFonts w:hint="eastAsia" w:ascii="方正仿宋_GBK" w:hAnsi="方正仿宋_GBK" w:eastAsia="方正仿宋_GBK" w:cs="方正仿宋_GBK"/>
                <w:sz w:val="28"/>
                <w:szCs w:val="28"/>
              </w:rPr>
            </w:pPr>
            <w:r>
              <w:rPr>
                <w:rFonts w:hint="eastAsia" w:eastAsia="方正仿宋_GBK"/>
                <w:b/>
                <w:color w:val="auto"/>
                <w:sz w:val="28"/>
                <w:szCs w:val="28"/>
              </w:rPr>
              <w:t>专栏6  旅游会展业重点项目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482"/>
              <w:rPr>
                <w:rFonts w:hint="eastAsia" w:ascii="方正仿宋_GBK" w:hAnsi="方正仿宋_GBK" w:eastAsia="方正仿宋_GBK" w:cs="方正仿宋_GBK"/>
                <w:sz w:val="28"/>
                <w:szCs w:val="28"/>
                <w:highlight w:val="yellow"/>
              </w:rPr>
            </w:pPr>
            <w:r>
              <w:rPr>
                <w:rFonts w:hint="eastAsia" w:ascii="方正仿宋_GBK" w:hAnsi="方正仿宋_GBK" w:eastAsia="方正仿宋_GBK" w:cs="方正仿宋_GBK"/>
                <w:sz w:val="28"/>
                <w:szCs w:val="28"/>
              </w:rPr>
              <w:t>磨盘湖上游保护性开发项目、梅河口市海龙湖南侧文旅基础设施配套项目、梅河口市智慧旅游服务与运营平台、梅河口市南山生态城文旅新区及基础设施配套项目、梅河口市城市客厅景区旅游基础设施建设项目、梅河口市旅游集散中心、梅河口市五奎山旅游开发基础设施配套项目、梅河口市五奎山风景区项目、鸡冠山景区休闲度假项目、冰雪旅游项目、蓝城（杭州）桃李春风生态民宿小镇项目、旅游装备制造产业园区</w:t>
            </w:r>
          </w:p>
        </w:tc>
      </w:tr>
    </w:tbl>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3.发展现代物流业</w:t>
      </w:r>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提升梅河口市通达能力，重点提升黑大公路、集双公路等国省干线公路，实现梅河口市与外围主要发展节点有序衔接。加强现代信息技术应用，贯穿现代物流领域，布局“一核心一基地多中心”的物流网络体系，</w:t>
      </w:r>
      <w:r>
        <w:rPr>
          <w:rFonts w:hint="eastAsia" w:eastAsia="方正仿宋_GBK" w:cs="方正仿宋_GBK"/>
          <w:color w:val="000000"/>
          <w:kern w:val="0"/>
          <w:sz w:val="32"/>
          <w:szCs w:val="32"/>
        </w:rPr>
        <w:t>推动多式联运、专业物流、物流信息、物流标准、物流政策等领域率先一体化发展，</w:t>
      </w:r>
      <w:r>
        <w:rPr>
          <w:rFonts w:hint="eastAsia" w:eastAsia="方正仿宋_GBK" w:cs="方正仿宋_GBK"/>
          <w:color w:val="000000"/>
          <w:sz w:val="32"/>
          <w:szCs w:val="32"/>
        </w:rPr>
        <w:t>共建综合物流枢纽。发挥梅河口交通区位优势和山城镇商贸中心的产业优势，发展商贸物流；重点支持医药、食品、农资等工业发展，整合医药物流、食品物流和农资物流线路，构建一体化运作的供应链管理服务体系，统一发展工业物流；推动组建都市圈农产品物流战略联盟，加强与长春市大型批发市场对接，深挖都市圈丰富的客户基础和市场资源，打造集交易、运输、流通加工、安全追溯、信息服务于一体的全程农产品物流服务体系，辐射东北地区农产品大市场；加快完善城乡配送网络体系，统筹协调邮政、供销社、快递、第三方物流等物流资源，建立“市级物流配送中心、乡（镇）集中配送站、村级配送服务点”三级物流配送网络，发展城乡配送物流；依托梅河口电商产业园，积极对接阿里巴巴、京东商城、买买提等龙头电商企业，大力发展梅河口市跨境电商物流；发挥梅河口市对外贸易优势，推进果仁、医药、木材、食品等商品进出口贸易，打造辐射东三省的保税物流基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500" w:lineRule="exact"/>
              <w:jc w:val="center"/>
              <w:rPr>
                <w:rFonts w:hint="eastAsia" w:ascii="方正仿宋_GBK" w:hAnsi="方正仿宋_GBK" w:eastAsia="方正仿宋_GBK" w:cs="方正仿宋_GBK"/>
                <w:sz w:val="28"/>
                <w:szCs w:val="28"/>
                <w:highlight w:val="red"/>
              </w:rPr>
            </w:pPr>
            <w:r>
              <w:rPr>
                <w:rFonts w:hint="eastAsia" w:eastAsia="方正仿宋_GBK"/>
                <w:b/>
                <w:color w:val="auto"/>
                <w:sz w:val="28"/>
                <w:szCs w:val="28"/>
              </w:rPr>
              <w:t>专栏7  现代物流重点项目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物流园区（中心）工程：</w:t>
            </w:r>
            <w:r>
              <w:rPr>
                <w:rFonts w:hint="eastAsia" w:ascii="方正仿宋_GBK" w:hAnsi="方正仿宋_GBK" w:eastAsia="方正仿宋_GBK" w:cs="方正仿宋_GBK"/>
                <w:color w:val="auto"/>
                <w:sz w:val="28"/>
                <w:szCs w:val="28"/>
              </w:rPr>
              <w:t>农产品冷链物流园区建设项目、医药健康产业物流园区建设项目、标准化农资物流园区建设项目、城东客货运物流园区建设项目、煤炭仓储物流中心建设项目、方便食品物流园区建设项目、传化“公路港”物流项目。</w:t>
            </w:r>
          </w:p>
          <w:p>
            <w:pPr>
              <w:spacing w:beforeLines="0" w:afterLines="0" w:line="50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商贸物流项目：</w:t>
            </w:r>
            <w:r>
              <w:rPr>
                <w:rFonts w:hint="eastAsia" w:ascii="方正仿宋_GBK" w:hAnsi="方正仿宋_GBK" w:eastAsia="方正仿宋_GBK" w:cs="方正仿宋_GBK"/>
                <w:color w:val="auto"/>
                <w:sz w:val="28"/>
                <w:szCs w:val="28"/>
              </w:rPr>
              <w:t>梅河口市农产品冷链及现代化智慧物流园区项目、阜康酒精</w:t>
            </w:r>
            <w:r>
              <w:rPr>
                <w:rFonts w:hint="eastAsia"/>
                <w:color w:val="auto"/>
                <w:sz w:val="28"/>
                <w:szCs w:val="28"/>
              </w:rPr>
              <w:t>5G</w:t>
            </w:r>
            <w:r>
              <w:rPr>
                <w:rFonts w:hint="eastAsia" w:ascii="方正仿宋_GBK" w:hAnsi="方正仿宋_GBK" w:eastAsia="方正仿宋_GBK" w:cs="方正仿宋_GBK"/>
                <w:color w:val="auto"/>
                <w:sz w:val="28"/>
                <w:szCs w:val="28"/>
              </w:rPr>
              <w:t>智能化仓储物流基地项目、辽宁必胜肥业（集团）有限公司梅河口阜康化肥物流项目、国际贸易“新丝路”建设项目、北方药材药品交易市场建设项目、亚洲果仁集散中心建设项目、梅河口市邮政智能包裹柜建设项目、中科北方石化产品交易中心项目。</w:t>
            </w:r>
          </w:p>
          <w:p>
            <w:pPr>
              <w:spacing w:beforeLines="0" w:afterLines="0" w:line="50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城乡配送物流工程：</w:t>
            </w:r>
            <w:r>
              <w:rPr>
                <w:rFonts w:hint="eastAsia" w:ascii="方正仿宋_GBK" w:hAnsi="方正仿宋_GBK" w:eastAsia="方正仿宋_GBK" w:cs="方正仿宋_GBK"/>
                <w:color w:val="auto"/>
                <w:sz w:val="28"/>
                <w:szCs w:val="28"/>
              </w:rPr>
              <w:t>城乡高效配送体系建设项目、洪泰农产品仓储物流项目。</w:t>
            </w:r>
          </w:p>
          <w:p>
            <w:pPr>
              <w:spacing w:beforeLines="0" w:afterLines="0" w:line="500" w:lineRule="exact"/>
              <w:ind w:firstLine="562" w:firstLineChars="200"/>
              <w:rPr>
                <w:rFonts w:hint="eastAsia" w:ascii="方正仿宋_GBK" w:hAnsi="方正仿宋_GBK" w:eastAsia="方正仿宋_GBK" w:cs="方正仿宋_GBK"/>
                <w:sz w:val="28"/>
                <w:szCs w:val="28"/>
                <w:highlight w:val="red"/>
              </w:rPr>
            </w:pPr>
            <w:r>
              <w:rPr>
                <w:rFonts w:hint="eastAsia" w:ascii="方正仿宋_GBK" w:hAnsi="方正仿宋_GBK" w:eastAsia="方正仿宋_GBK" w:cs="方正仿宋_GBK"/>
                <w:b/>
                <w:color w:val="auto"/>
                <w:sz w:val="28"/>
                <w:szCs w:val="28"/>
              </w:rPr>
              <w:t>电商物流工程：</w:t>
            </w:r>
            <w:r>
              <w:rPr>
                <w:rFonts w:hint="eastAsia" w:ascii="方正仿宋_GBK" w:hAnsi="方正仿宋_GBK" w:eastAsia="方正仿宋_GBK" w:cs="方正仿宋_GBK"/>
                <w:color w:val="auto"/>
                <w:sz w:val="28"/>
                <w:szCs w:val="28"/>
              </w:rPr>
              <w:t>电商产业园仓储物流中心建设项目、农村电商仓储物流中心建设项目。</w:t>
            </w:r>
          </w:p>
        </w:tc>
      </w:tr>
    </w:tbl>
    <w:p>
      <w:pPr>
        <w:numPr>
          <w:ilvl w:val="0"/>
          <w:numId w:val="0"/>
        </w:numPr>
        <w:spacing w:beforeLines="0" w:afterLines="0" w:line="560" w:lineRule="exact"/>
        <w:ind w:firstLine="643" w:firstLineChars="200"/>
        <w:rPr>
          <w:rFonts w:hint="eastAsia" w:eastAsia="方正仿宋_GBK" w:cs="方正仿宋_GBK"/>
          <w:b/>
          <w:color w:val="000000"/>
          <w:sz w:val="32"/>
          <w:szCs w:val="32"/>
        </w:rPr>
      </w:pPr>
      <w:r>
        <w:rPr>
          <w:rFonts w:hint="eastAsia" w:eastAsia="方正仿宋_GBK" w:cs="方正仿宋_GBK"/>
          <w:b/>
          <w:color w:val="000000"/>
          <w:sz w:val="32"/>
          <w:szCs w:val="32"/>
        </w:rPr>
        <w:t>4.发展现代金融业</w:t>
      </w:r>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探索设立梅河口医药产业发展基金，积极争取国省金融政策支持，吸引东北再担保在梅河口市设立直属机构，争取银行、证券、保险等金融机构设立区域总部和分支机构。在梅河新区引进和培育一批科技银行、科技保险、融资担保等科技金融机构，吸引股权投资机构、地方准金融机构、第三方金融机构和产权交易市场入驻高新区，鼓励域内金融机构探索知识产权质押贷款、股权质押贷款、信用保险、科技保险、产业链融资等新型融资服务，发展“创新贷”“高新贷”“政保贷”等创新型金融产品，开发复合型金融产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500" w:lineRule="exact"/>
              <w:jc w:val="center"/>
              <w:rPr>
                <w:rFonts w:hint="eastAsia" w:ascii="方正仿宋_GBK" w:hAnsi="方正仿宋_GBK" w:eastAsia="方正仿宋_GBK" w:cs="方正仿宋_GBK"/>
                <w:sz w:val="28"/>
                <w:szCs w:val="28"/>
              </w:rPr>
            </w:pPr>
            <w:r>
              <w:rPr>
                <w:rFonts w:hint="eastAsia" w:eastAsia="方正仿宋_GBK"/>
                <w:b/>
                <w:color w:val="auto"/>
                <w:sz w:val="28"/>
                <w:szCs w:val="28"/>
              </w:rPr>
              <w:t>专栏8  现代金融业重点项目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设立产业引导基金：</w:t>
            </w:r>
            <w:r>
              <w:rPr>
                <w:rFonts w:hint="eastAsia" w:ascii="方正仿宋_GBK" w:hAnsi="方正仿宋_GBK" w:eastAsia="方正仿宋_GBK" w:cs="方正仿宋_GBK"/>
                <w:color w:val="auto"/>
                <w:sz w:val="28"/>
                <w:szCs w:val="28"/>
              </w:rPr>
              <w:t>加快四环、步长、津升制药等龙头企业以合作共建方式参与建设产业发展基金。</w:t>
            </w:r>
          </w:p>
          <w:p>
            <w:pPr>
              <w:spacing w:beforeLines="0" w:afterLines="0" w:line="500" w:lineRule="exact"/>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auto"/>
                <w:sz w:val="28"/>
                <w:szCs w:val="28"/>
              </w:rPr>
              <w:t>金融创新服务平台：</w:t>
            </w:r>
            <w:r>
              <w:rPr>
                <w:rFonts w:hint="eastAsia" w:ascii="方正仿宋_GBK" w:hAnsi="方正仿宋_GBK" w:eastAsia="方正仿宋_GBK" w:cs="方正仿宋_GBK"/>
                <w:color w:val="auto"/>
                <w:sz w:val="28"/>
                <w:szCs w:val="28"/>
              </w:rPr>
              <w:t>设立区域性消费（结算）平台、“保险+期货”供应链金融平台、片区开发融资平台。推动梅河口中如总部大厦、金融综合服务站建设，打造成为具有创业、创新、孵化等功能的新金融产业平台。</w:t>
            </w:r>
          </w:p>
        </w:tc>
      </w:tr>
    </w:tbl>
    <w:p>
      <w:pPr>
        <w:numPr>
          <w:ilvl w:val="0"/>
          <w:numId w:val="0"/>
        </w:numPr>
        <w:spacing w:beforeLines="0" w:afterLines="0" w:line="560" w:lineRule="exact"/>
        <w:ind w:firstLine="643" w:firstLineChars="200"/>
        <w:outlineLvl w:val="1"/>
        <w:rPr>
          <w:rFonts w:hint="eastAsia" w:eastAsia="方正仿宋_GBK" w:cs="方正仿宋_GBK"/>
          <w:b/>
          <w:color w:val="000000"/>
          <w:sz w:val="32"/>
          <w:szCs w:val="32"/>
        </w:rPr>
      </w:pPr>
      <w:r>
        <w:rPr>
          <w:rFonts w:hint="eastAsia" w:eastAsia="方正仿宋_GBK" w:cs="方正仿宋_GBK"/>
          <w:b/>
          <w:color w:val="000000"/>
          <w:sz w:val="32"/>
          <w:szCs w:val="32"/>
        </w:rPr>
        <w:t>5.发展商贸流通业</w:t>
      </w:r>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实施“都市圈商业提升行动”，持续优化中心、东街、西街、北环、现代服务业示范区等五大商圈。围绕长春区域性消费中心城市建设，重点培育东北不夜城、爨街、知北村、啤酒生态城、维港城、欧亚、红星美凯龙、爱琴海购物公园、美好世界等特色街区，打造集“游、购、娱、展”于一体的一站式体验之都，推进商贸消费升级。激活城市夜间消费活力，丰富“深夜食堂”“街区夜游”“地摊经济”等业态。依托鑫利达汽贸城、长城汽贸、广远汽车4S店等汽贸商圈，以及长白山建材城、跃兴农产品物流城等商圈的集聚辐射效应，推进传统商贸业平台化、网络化转型，促进线上线下融合发展，培育带动关联产业集群扩张发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jc w:val="center"/>
              <w:rPr>
                <w:rFonts w:hint="eastAsia" w:ascii="方正仿宋_GBK" w:hAnsi="方正仿宋_GBK" w:eastAsia="方正仿宋_GBK" w:cs="方正仿宋_GBK"/>
                <w:b/>
                <w:sz w:val="28"/>
                <w:szCs w:val="28"/>
              </w:rPr>
            </w:pPr>
            <w:r>
              <w:rPr>
                <w:rFonts w:hint="eastAsia" w:eastAsia="方正仿宋_GBK"/>
                <w:b/>
                <w:color w:val="auto"/>
                <w:sz w:val="28"/>
                <w:szCs w:val="28"/>
              </w:rPr>
              <w:t>专栏9  商贸流通业重点项目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color w:val="auto"/>
                <w:sz w:val="28"/>
                <w:szCs w:val="28"/>
              </w:rPr>
              <w:t>梅河口红星美凯龙城市综合体建设项目、爱琴海购物公园建设项目、梅河口中如总部大厦建设项目。</w:t>
            </w:r>
          </w:p>
        </w:tc>
      </w:tr>
    </w:tbl>
    <w:p>
      <w:pPr>
        <w:spacing w:beforeLines="0" w:afterLines="0" w:line="560" w:lineRule="exact"/>
        <w:ind w:firstLine="640" w:firstLineChars="200"/>
        <w:rPr>
          <w:rFonts w:hint="eastAsia" w:eastAsia="方正仿宋_GBK" w:cs="方正仿宋_GBK"/>
          <w:b/>
          <w:color w:val="000000"/>
          <w:sz w:val="32"/>
          <w:szCs w:val="32"/>
        </w:rPr>
      </w:pPr>
      <w:r>
        <w:rPr>
          <w:rFonts w:hint="eastAsia" w:ascii="方正黑体_GBK" w:hAnsi="方正黑体_GBK" w:eastAsia="方正黑体_GBK" w:cs="方正黑体_GBK"/>
          <w:color w:val="000000"/>
          <w:sz w:val="32"/>
          <w:szCs w:val="32"/>
        </w:rPr>
        <w:t>五、加大合作开放力度</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21" w:name="_Toc15687"/>
      <w:r>
        <w:rPr>
          <w:rFonts w:hint="eastAsia" w:ascii="方正楷体_GBK" w:hAnsi="方正楷体_GBK" w:eastAsia="方正楷体_GBK" w:cs="方正楷体_GBK"/>
          <w:color w:val="000000"/>
          <w:sz w:val="32"/>
          <w:szCs w:val="32"/>
        </w:rPr>
        <w:t>（一）共建共享自贸试验区</w:t>
      </w:r>
      <w:bookmarkEnd w:id="21"/>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在贸易投资自由化便利化、深化金融领域开放创新等方面形成制度创新成果，对标国际先进贸易规则，大力发展跨国公司地区运营管理、订单中心等总部经济，积极发展电子商务、数字贸易等新型国际贸易，强化与长春经济技术开发区、长春汽车经济技术开发区、长春高新技术产业开发区、长春兴隆综合保税区的联动，举办“促进长春－梅河口区域经济协调发展、产学研用高峰论坛”，强化与一汽研究院、省工业研究所、长光发展集团等战略性合作，邀请相关院士、教授、研究员及科研博士、硕士，在平台、产业、项目、人才等方面实现深度合作，共同探讨梅河口发展路径，放大自贸试验区辐射和溢出效应。</w:t>
      </w:r>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22" w:name="_Toc32687"/>
      <w:r>
        <w:rPr>
          <w:rFonts w:hint="eastAsia" w:ascii="方正楷体_GBK" w:hAnsi="方正楷体_GBK" w:eastAsia="方正楷体_GBK" w:cs="方正楷体_GBK"/>
          <w:color w:val="000000"/>
          <w:sz w:val="32"/>
          <w:szCs w:val="32"/>
        </w:rPr>
        <w:t>（二）探索区域开放合作机制</w:t>
      </w:r>
      <w:bookmarkEnd w:id="22"/>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加快梅河新区建设进程，大力发展健康医药、健康食品用品、健康服务产业，加快构建高新技术引领的现代大健康产业新体系。重点对接国家重大专项，促进创新成果产业化，引进现代中药、生物制药技术成果，壮大步长药业、四环药业、津升药业、金宝药业等一批龙头企业，建成东北亚健康医药技术成果转化与产业化基地。综合梅河新区内阜康酒精、梅河大米等健康食品用品企业，打造国家健康食品用品产业示范基地。发挥区域医疗卫生中心优势，丰富梅河口域内康养旅游内容，打造省级乃至东北地区健康服务中心。加强与长春新区、长春经开区、长春汽开区等开发区的工作联系，差异化、特色化选择汽车零部件企业开展点对点招商，提升梅河口市在发展新阶段实现现代装备制造产业增量升级和空间拓展。加快梅河与长春事项通办，定期分批推出梅河口通办事项清单，推动企业登记注册、经营许可、涉税办理等高频事项在长春现代化都市圈范围内一网通办、跨市通办。加强行业和区域间深度交流合作，提升区域知名度和影响力。</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23" w:name="_Toc11692"/>
      <w:r>
        <w:rPr>
          <w:rFonts w:hint="eastAsia" w:ascii="方正楷体_GBK" w:hAnsi="方正楷体_GBK" w:eastAsia="方正楷体_GBK" w:cs="方正楷体_GBK"/>
          <w:color w:val="000000"/>
          <w:sz w:val="32"/>
          <w:szCs w:val="32"/>
        </w:rPr>
        <w:t>（三）强化对口交流合作</w:t>
      </w:r>
      <w:bookmarkEnd w:id="23"/>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r>
        <w:rPr>
          <w:rFonts w:hint="eastAsia" w:eastAsia="方正仿宋_GBK" w:cs="方正仿宋_GBK"/>
          <w:color w:val="000000"/>
          <w:sz w:val="32"/>
          <w:szCs w:val="32"/>
        </w:rPr>
        <w:t>推动劳动力要素有序流动，健全长春现代化都市圈引才引智机制，推动梅河口市与长春市人力资源、就业岗位信息共享和服务政策有机衔接。学习借鉴丽水利用“飞地”经济在杭州建立丽水大厦经验，在长春建设具有技术研发功能的梅河新区大厦，吸纳长春芯片、优质车用零部件研发机构在大厦内开展初试、中试，能力孵化，脱壳后在梅河口现代装备制造园区落户。</w:t>
      </w:r>
    </w:p>
    <w:p>
      <w:pPr>
        <w:numPr>
          <w:ilvl w:val="0"/>
          <w:numId w:val="0"/>
        </w:numPr>
        <w:spacing w:beforeLines="0" w:afterLines="0" w:line="560" w:lineRule="exact"/>
        <w:ind w:firstLine="640" w:firstLineChars="200"/>
        <w:outlineLvl w:val="0"/>
        <w:rPr>
          <w:rFonts w:hint="eastAsia" w:eastAsia="方正仿宋_GBK" w:cs="方正仿宋_GBK"/>
          <w:b/>
          <w:color w:val="000000"/>
          <w:sz w:val="32"/>
          <w:szCs w:val="32"/>
        </w:rPr>
      </w:pPr>
      <w:bookmarkStart w:id="24" w:name="_Toc23879"/>
      <w:r>
        <w:rPr>
          <w:rFonts w:hint="eastAsia" w:ascii="方正黑体_GBK" w:hAnsi="方正黑体_GBK" w:eastAsia="方正黑体_GBK" w:cs="方正黑体_GBK"/>
          <w:color w:val="000000"/>
          <w:sz w:val="32"/>
          <w:szCs w:val="32"/>
        </w:rPr>
        <w:t>六、培育优质公共服务资源</w:t>
      </w:r>
      <w:bookmarkEnd w:id="24"/>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为打造健康的长春现代化都市圈，立足“区域现代产业集聚中心、商贸物流中心、现代服务业中心”，加强梅河口市科技创新、高端制造、生活服务、对外交往等功能，提升梅河口市现代化区域中心城市的引领带动作用。</w:t>
      </w:r>
    </w:p>
    <w:p>
      <w:pPr>
        <w:overflowPunct w:val="0"/>
        <w:spacing w:beforeLines="0" w:afterLines="0" w:line="560" w:lineRule="exact"/>
        <w:ind w:firstLine="643" w:firstLineChars="200"/>
        <w:rPr>
          <w:rFonts w:hint="eastAsia" w:eastAsia="方正仿宋_GBK" w:cs="方正仿宋_GBK"/>
          <w:color w:val="000000"/>
          <w:kern w:val="0"/>
          <w:sz w:val="32"/>
          <w:szCs w:val="32"/>
        </w:rPr>
      </w:pPr>
      <w:r>
        <w:rPr>
          <w:rFonts w:hint="eastAsia" w:eastAsia="方正仿宋_GBK" w:cs="方正仿宋_GBK"/>
          <w:b/>
          <w:color w:val="000000"/>
          <w:sz w:val="32"/>
          <w:szCs w:val="32"/>
        </w:rPr>
        <w:t>医疗资源。</w:t>
      </w:r>
      <w:r>
        <w:rPr>
          <w:rFonts w:hint="eastAsia" w:eastAsia="方正仿宋_GBK" w:cs="方正仿宋_GBK"/>
          <w:color w:val="000000"/>
          <w:sz w:val="32"/>
          <w:szCs w:val="32"/>
        </w:rPr>
        <w:t>打造吉林省医学高地，</w:t>
      </w:r>
      <w:r>
        <w:rPr>
          <w:rFonts w:hint="eastAsia" w:eastAsia="方正仿宋_GBK" w:cs="方正仿宋_GBK"/>
          <w:color w:val="000000"/>
          <w:kern w:val="0"/>
          <w:sz w:val="32"/>
          <w:szCs w:val="32"/>
        </w:rPr>
        <w:t>提升都市圈医疗服务能力，</w:t>
      </w:r>
      <w:r>
        <w:rPr>
          <w:rFonts w:hint="eastAsia" w:eastAsia="方正仿宋_GBK" w:cs="方正仿宋_GBK"/>
          <w:color w:val="000000"/>
          <w:sz w:val="32"/>
          <w:szCs w:val="32"/>
        </w:rPr>
        <w:t>汇聚省内外优质医疗、科研资源，</w:t>
      </w:r>
      <w:r>
        <w:rPr>
          <w:rFonts w:hint="eastAsia" w:eastAsia="方正仿宋_GBK" w:cs="方正仿宋_GBK"/>
          <w:color w:val="000000"/>
          <w:kern w:val="0"/>
          <w:sz w:val="32"/>
          <w:szCs w:val="32"/>
        </w:rPr>
        <w:t>创建国家中医药传承创新中心。</w:t>
      </w:r>
      <w:r>
        <w:rPr>
          <w:rFonts w:hint="eastAsia" w:eastAsia="方正仿宋_GBK" w:cs="方正仿宋_GBK"/>
          <w:color w:val="000000"/>
          <w:sz w:val="32"/>
          <w:szCs w:val="32"/>
        </w:rPr>
        <w:t>依托吉大一院梅河医院，</w:t>
      </w:r>
      <w:r>
        <w:rPr>
          <w:rFonts w:hint="eastAsia" w:eastAsia="方正仿宋_GBK" w:cs="方正仿宋_GBK"/>
          <w:color w:val="000000"/>
          <w:kern w:val="0"/>
          <w:sz w:val="32"/>
          <w:szCs w:val="32"/>
        </w:rPr>
        <w:t>强化与吉大一院、吉大二院、中日联谊医院、长春中医药大学附属医院等三甲医院的中西医协同旗舰医院、健康产业园和健康医疗大数据中心的合作。参与</w:t>
      </w:r>
      <w:r>
        <w:rPr>
          <w:rFonts w:hint="eastAsia" w:eastAsia="方正仿宋_GBK" w:cs="方正仿宋_GBK"/>
          <w:color w:val="000000"/>
          <w:sz w:val="32"/>
          <w:szCs w:val="32"/>
        </w:rPr>
        <w:t>建立长春现代化都市圈医疗联合体，大力发展“互联网+医疗健康”，推进都市圈内医疗卫生机构看病就医“一卡通”，</w:t>
      </w:r>
      <w:r>
        <w:rPr>
          <w:rFonts w:hint="eastAsia" w:eastAsia="方正仿宋_GBK" w:cs="方正仿宋_GBK"/>
          <w:color w:val="000000"/>
          <w:kern w:val="0"/>
          <w:sz w:val="32"/>
          <w:szCs w:val="32"/>
        </w:rPr>
        <w:t>鼓励支持高水平医学专家都市圈内合理流动、多点执业。构建以电子病历和居民电子健康档案为基础的都市圈健康信息平台和医疗协作系统，实现转诊、会诊、预约等远程医疗服务和基本公共卫生服务的互认共享。依托吉大一院梅河医院成为省医保定点医院契机，深化医保先行先试试点。</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教育资源。</w:t>
      </w:r>
      <w:r>
        <w:rPr>
          <w:rFonts w:hint="eastAsia" w:eastAsia="方正仿宋_GBK" w:cs="方正仿宋_GBK"/>
          <w:color w:val="000000"/>
          <w:sz w:val="32"/>
          <w:szCs w:val="32"/>
        </w:rPr>
        <w:t>扩大优质教育资源供给，协同推动各级各类教育高质量发展，促进资源优势互补和有序流动，率先实现区域教育现代化。创新区域教育合作方式，推广长春市“名校+”经验，依托鼓励支持未来教育集团与东北师范大学托长春优质学前教育、中小学学校资源，吉林大学共同筹建东北亚学生职业生涯规划中心、北方数学奥林匹克竞赛中心。推动建立联结梅河口市和长春市的教育集团、学校联盟，推进校长、骨干教师交流，扩大优质学位供给，逐步实现都市圈优质资源均衡覆盖。推动梅河口市与长春市高等学校联合办学，深化课程互选、学分互认、教师互聘等方面的合作。建立都市圈职业教育合作平台，推动企业和社会共办高质量职业教育。</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养老托育资源。</w:t>
      </w:r>
      <w:r>
        <w:rPr>
          <w:rFonts w:hint="eastAsia" w:eastAsia="方正仿宋_GBK" w:cs="方正仿宋_GBK"/>
          <w:color w:val="000000"/>
          <w:sz w:val="32"/>
          <w:szCs w:val="32"/>
        </w:rPr>
        <w:t>主动承接哈长、沈吉都市圈及“梅柳辉东”城市组团，建立以居家养老为基础、社区养老为依托、机构养老为补充的养老服务体系。建设一批安幼养老服务中心，健全基本养老服务体系，发展基础性、普惠性、兜底性养老服务，重点解决经济困难的高龄失能老年人长期照护服务保障问题。依托天宝医院，联合长春净月颐康医养中心，加强与长春中医药大学附属医院的合作，新建以中医药健康养老为主的护理院、疗养院，打造吉林省“候鸟式”健康养老基地。完善托育服务体系，加快普惠性婴幼儿照护服务机构发展，建立集中管理运营的社区托育服务网络。引导有条件的幼儿园开设托育班，独立开办的托育服务机构开设乳儿班、小托班和大托班，用人单位根据单位员工数量单独或与驻地社区联合开办托育所。推进隔代照料、家庭互助等照护模式，家政企业扩大育儿服务，医育结合托育机构建设。</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公共服务资源。</w:t>
      </w:r>
      <w:r>
        <w:rPr>
          <w:rFonts w:hint="eastAsia" w:eastAsia="方正仿宋_GBK" w:cs="方正仿宋_GBK"/>
          <w:color w:val="000000"/>
          <w:sz w:val="32"/>
          <w:szCs w:val="32"/>
        </w:rPr>
        <w:t>创新公共服务一体化管理机制，推进教育、医疗、社保、就业、户籍、住房公积金等公共服务一体化，以社会保障卡为载体，在社会保障、就医购药、交通出行、旅游观光、文化体验、惠民惠农财政补贴资金发放等方面建立居民服务“一卡通”，加快长春市与梅河口市政务服务对接共享，并形成可复制的经验，推广至都市圈其他城市。加强公共卫生服务合作，推动重大传染病疫情联防联控，推进工伤认定政策统一、结果互认。完善都市圈住房公积金一体化发展机制，逐步实现政策协同，数据共享和业务联办。</w:t>
      </w:r>
    </w:p>
    <w:p>
      <w:pPr>
        <w:numPr>
          <w:ilvl w:val="0"/>
          <w:numId w:val="0"/>
        </w:numPr>
        <w:spacing w:beforeLines="0" w:afterLines="0" w:line="560" w:lineRule="exact"/>
        <w:ind w:firstLine="643" w:firstLineChars="200"/>
        <w:rPr>
          <w:rFonts w:hint="eastAsia" w:eastAsia="方正仿宋_GBK" w:cs="方正仿宋_GBK"/>
          <w:color w:val="000000"/>
          <w:sz w:val="32"/>
          <w:szCs w:val="32"/>
        </w:rPr>
      </w:pPr>
      <w:r>
        <w:rPr>
          <w:rFonts w:hint="eastAsia" w:eastAsia="方正仿宋_GBK" w:cs="方正仿宋_GBK"/>
          <w:b/>
          <w:color w:val="000000"/>
          <w:sz w:val="32"/>
          <w:szCs w:val="32"/>
        </w:rPr>
        <w:t>创新创业资源。</w:t>
      </w:r>
      <w:r>
        <w:rPr>
          <w:rFonts w:hint="eastAsia" w:eastAsia="方正仿宋_GBK" w:cs="方正仿宋_GBK"/>
          <w:color w:val="000000"/>
          <w:sz w:val="32"/>
          <w:szCs w:val="32"/>
        </w:rPr>
        <w:t>充分借鉴长春新区摆渡创新工厂、江苏医疗器械科技产业园、泰州医药高新技术产业开发区、杭州钱塘新区、合肥高新技术产业开发区先进经验，营造适宜的双创空间。建立高层次人才服务卡制度，与长春市统一认定高层次人才可持卡在都市圈内按层级享受相应的教育、医疗、安居等公共服务，推进高层次人才在都市圈内自由落户。落实电商产业园网红直播基地项目，联合长春新区电商直播企业，联合打造信息互通、协奏共振的网红直播基地，推动两地电商产业协同发展，培养专业化电商人才。</w:t>
      </w:r>
    </w:p>
    <w:p>
      <w:pPr>
        <w:numPr>
          <w:ilvl w:val="0"/>
          <w:numId w:val="0"/>
        </w:numPr>
        <w:spacing w:beforeLines="0" w:afterLines="0" w:line="560" w:lineRule="exact"/>
        <w:ind w:firstLine="643" w:firstLineChars="200"/>
        <w:rPr>
          <w:rFonts w:hint="eastAsia" w:ascii="仿宋" w:hAnsi="仿宋" w:eastAsia="仿宋" w:cs="仿宋"/>
          <w:sz w:val="30"/>
          <w:szCs w:val="30"/>
        </w:rPr>
      </w:pPr>
      <w:r>
        <w:rPr>
          <w:rFonts w:hint="eastAsia" w:eastAsia="方正仿宋_GBK" w:cs="方正仿宋_GBK"/>
          <w:b/>
          <w:color w:val="000000"/>
          <w:sz w:val="32"/>
          <w:szCs w:val="32"/>
        </w:rPr>
        <w:t>双招双引资源。</w:t>
      </w:r>
      <w:r>
        <w:rPr>
          <w:rFonts w:hint="eastAsia" w:eastAsia="方正仿宋_GBK" w:cs="方正仿宋_GBK"/>
          <w:color w:val="000000"/>
          <w:sz w:val="32"/>
          <w:szCs w:val="32"/>
        </w:rPr>
        <w:t>提升招商引资、招财引智“双招双引”高度和维度，组建专业性、专能性产业招商中心，突出“双招双引”工作的专业化、专能化建设，引导复合型干部与高层次人才充实“双招双引”工作。整合梅河口市现有人才和社会生态资源，组建具有前期准入、市场推广、规划编制、驻企服务等全维度政务供给和前端科技专业知识应用的社会生态服务专员队伍，重点向依华渔具和天衡制药派驻专员，密切关注高分子碳纤维异性结构件市场化应用及药物临床试验，推动本地企业转型升级。</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numPr>
                <w:ilvl w:val="0"/>
                <w:numId w:val="0"/>
              </w:numPr>
              <w:spacing w:beforeLines="0" w:afterLines="0" w:line="500" w:lineRule="exact"/>
              <w:jc w:val="center"/>
              <w:rPr>
                <w:rFonts w:hint="eastAsia" w:ascii="方正仿宋_GBK" w:hAnsi="方正仿宋_GBK" w:eastAsia="方正仿宋_GBK" w:cs="方正仿宋_GBK"/>
                <w:sz w:val="28"/>
                <w:szCs w:val="28"/>
              </w:rPr>
            </w:pPr>
            <w:r>
              <w:rPr>
                <w:rFonts w:hint="eastAsia" w:eastAsia="方正仿宋_GBK"/>
                <w:b/>
                <w:color w:val="auto"/>
                <w:sz w:val="28"/>
                <w:szCs w:val="28"/>
              </w:rPr>
              <w:t>专栏10  健康养老重点项目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500" w:lineRule="exact"/>
              <w:ind w:firstLine="562"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医养服务：</w:t>
            </w:r>
            <w:r>
              <w:rPr>
                <w:rFonts w:hint="eastAsia" w:ascii="方正仿宋_GBK" w:hAnsi="方正仿宋_GBK" w:eastAsia="方正仿宋_GBK" w:cs="方正仿宋_GBK"/>
                <w:color w:val="auto"/>
                <w:sz w:val="28"/>
                <w:szCs w:val="28"/>
              </w:rPr>
              <w:t>梅河口市健康养老产业建设项目、梅河口市社会福利服务中心老年养护院建设项目、梅河口市智慧养老建设项目、社区老年活动中心建设项目</w:t>
            </w:r>
          </w:p>
          <w:p>
            <w:pPr>
              <w:spacing w:beforeLines="0" w:afterLines="0" w:line="500" w:lineRule="exact"/>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auto"/>
                <w:sz w:val="28"/>
                <w:szCs w:val="28"/>
              </w:rPr>
              <w:t>医疗健康：</w:t>
            </w:r>
            <w:r>
              <w:rPr>
                <w:rFonts w:hint="eastAsia" w:ascii="方正仿宋_GBK" w:hAnsi="方正仿宋_GBK" w:eastAsia="方正仿宋_GBK" w:cs="方正仿宋_GBK"/>
                <w:color w:val="auto"/>
                <w:sz w:val="28"/>
                <w:szCs w:val="28"/>
              </w:rPr>
              <w:t>吉大一院梅河分院感染性疾病科工程项目、新建社区卫生服务中心项目、梅河口市光明街道社区卫生服务中心（社区医院）异地新建项目、梅河口市第二医院发热门诊新建项目、梅河口市妇幼保健服务中心发热门诊及隔离病房建设项目。</w:t>
            </w:r>
          </w:p>
        </w:tc>
      </w:tr>
    </w:tbl>
    <w:p>
      <w:pPr>
        <w:numPr>
          <w:ilvl w:val="0"/>
          <w:numId w:val="0"/>
        </w:numPr>
        <w:spacing w:beforeLines="0" w:afterLines="0" w:line="560" w:lineRule="exact"/>
        <w:ind w:firstLine="640" w:firstLineChars="200"/>
        <w:outlineLvl w:val="0"/>
        <w:rPr>
          <w:rFonts w:hint="eastAsia" w:eastAsia="方正仿宋_GBK" w:cs="方正仿宋_GBK"/>
          <w:b/>
          <w:color w:val="000000"/>
          <w:sz w:val="32"/>
          <w:szCs w:val="32"/>
        </w:rPr>
      </w:pPr>
      <w:bookmarkStart w:id="25" w:name="_Toc5679"/>
      <w:r>
        <w:rPr>
          <w:rFonts w:hint="eastAsia" w:ascii="方正黑体_GBK" w:hAnsi="方正黑体_GBK" w:eastAsia="方正黑体_GBK" w:cs="方正黑体_GBK"/>
          <w:color w:val="000000"/>
          <w:sz w:val="32"/>
          <w:szCs w:val="32"/>
        </w:rPr>
        <w:t>七、保障措施</w:t>
      </w:r>
      <w:bookmarkEnd w:id="25"/>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26" w:name="_Toc30460"/>
      <w:r>
        <w:rPr>
          <w:rFonts w:hint="eastAsia" w:ascii="方正楷体_GBK" w:hAnsi="方正楷体_GBK" w:eastAsia="方正楷体_GBK" w:cs="方正楷体_GBK"/>
          <w:color w:val="000000"/>
          <w:sz w:val="32"/>
          <w:szCs w:val="32"/>
        </w:rPr>
        <w:t>（一）加强组织领导</w:t>
      </w:r>
      <w:bookmarkEnd w:id="26"/>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充分发挥梅河口市“一主六双”高质量发展战略推进工作领导小组统筹协调作用，明确工作分工，完善工作机制，科学制定年度计划，将各项任务指标落到实处。成立全面融入长春现代化都市圈建设专项办公室，加强对规划、实施方案等政策文件的指导、跟踪、督促，协调解决政策落实中的突出问题，重大问题及时向市委、市政府报告。推动政策会商、项目对接、利益协调，定期开展工作评估，及时总结经验做法。</w:t>
      </w:r>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27" w:name="_Toc18935"/>
      <w:r>
        <w:rPr>
          <w:rFonts w:hint="eastAsia" w:ascii="方正楷体_GBK" w:hAnsi="方正楷体_GBK" w:eastAsia="方正楷体_GBK" w:cs="方正楷体_GBK"/>
          <w:color w:val="000000"/>
          <w:sz w:val="32"/>
          <w:szCs w:val="32"/>
        </w:rPr>
        <w:t>（二）夯实项目支撑</w:t>
      </w:r>
      <w:bookmarkEnd w:id="27"/>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协同建立全面融入长春现代化都市圈重点项目清单，作为未来实施方案落实的重要支撑。建立项目前期工作推进机制，各项目牵头部门制定详细项目前期推进工作方案。建立健全项目动态管理机制，实施项目推进情况定期滚动更新上报，及时排查阻点环节，加强项目运行调度。完善部分协作、上下联动的重点建设项目协调服务机制，加强项目规划选址、土地供应和资金保障，统筹解决项目建设过程中各类问题，优化项目建设环境。</w:t>
      </w:r>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28" w:name="_Toc26901"/>
      <w:r>
        <w:rPr>
          <w:rFonts w:hint="eastAsia" w:ascii="方正楷体_GBK" w:hAnsi="方正楷体_GBK" w:eastAsia="方正楷体_GBK" w:cs="方正楷体_GBK"/>
          <w:color w:val="000000"/>
          <w:sz w:val="32"/>
          <w:szCs w:val="32"/>
        </w:rPr>
        <w:t>（三）建立区域协同机制</w:t>
      </w:r>
      <w:bookmarkEnd w:id="28"/>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健全常态化工作协商机制，积极参与都市圈各市党政联席制度和一体化发展办公室建设，形成常态化沟通协调机制，加快建立交通、产业、创新、市场、资源环境、公共服务等专项合作机制，分领域策划和推进具体合作事项和项目。建立政策协同发展机制，协同建立都市圈标准化联合组织，承担都市圈分工，研究建立产业项目流转补偿、税收分成、统计核算机制，联合都市圈内其他地区跨区建园，引导相关产业项目在都市圈合理迁移，促进在更大范围内集聚和配置资源，在法定权限内加强税收优惠政策协调，发挥梅河口市在都市圈建设中的重要作用。</w:t>
      </w:r>
    </w:p>
    <w:p>
      <w:pPr>
        <w:numPr>
          <w:ilvl w:val="0"/>
          <w:numId w:val="0"/>
        </w:numPr>
        <w:spacing w:beforeLines="0" w:afterLines="0" w:line="560" w:lineRule="exact"/>
        <w:ind w:firstLine="640" w:firstLineChars="200"/>
        <w:outlineLvl w:val="1"/>
        <w:rPr>
          <w:rFonts w:hint="eastAsia" w:eastAsia="方正仿宋_GBK" w:cs="方正仿宋_GBK"/>
          <w:b/>
          <w:color w:val="000000"/>
          <w:sz w:val="32"/>
          <w:szCs w:val="32"/>
        </w:rPr>
      </w:pPr>
      <w:bookmarkStart w:id="29" w:name="_Toc6910"/>
      <w:r>
        <w:rPr>
          <w:rFonts w:hint="eastAsia" w:ascii="方正楷体_GBK" w:hAnsi="方正楷体_GBK" w:eastAsia="方正楷体_GBK" w:cs="方正楷体_GBK"/>
          <w:color w:val="000000"/>
          <w:sz w:val="32"/>
          <w:szCs w:val="32"/>
        </w:rPr>
        <w:t>（四）扩大社会参与</w:t>
      </w:r>
      <w:bookmarkEnd w:id="29"/>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加强舆论引导，创新宣传方式，营造利于都市圈建设的和谐氛围。发挥行业协会、企业家协会、专业合作组织等社会团体作用，促进都市圈区域人才流、资金流、信息流、技术流的畅通。依托省内和梅河口市高等院校、科研院所等优质科研和智库资源，深入开展都市圈发展研究，为政府决策提供智力支持。完善都市圈建设公众参与机制，广泛听取社会各界的意见和建议，引导各类市场主体积极参与长春现代化都市圈建设分工，培育都市圈文化，形成市场化、社会化推进机制和全社会共同参与的良好氛围。</w:t>
      </w:r>
    </w:p>
    <w:p>
      <w:pPr>
        <w:numPr>
          <w:ilvl w:val="0"/>
          <w:numId w:val="0"/>
        </w:numPr>
        <w:spacing w:beforeLines="0" w:afterLines="0" w:line="560" w:lineRule="exact"/>
        <w:ind w:firstLine="640" w:firstLineChars="200"/>
        <w:outlineLvl w:val="1"/>
        <w:rPr>
          <w:rFonts w:hint="eastAsia" w:ascii="方正楷体_GBK" w:hAnsi="方正楷体_GBK" w:eastAsia="方正楷体_GBK" w:cs="方正楷体_GBK"/>
          <w:color w:val="000000"/>
          <w:sz w:val="32"/>
          <w:szCs w:val="32"/>
        </w:rPr>
      </w:pPr>
      <w:bookmarkStart w:id="30" w:name="_Toc4394"/>
      <w:r>
        <w:rPr>
          <w:rFonts w:hint="eastAsia" w:ascii="方正楷体_GBK" w:hAnsi="方正楷体_GBK" w:eastAsia="方正楷体_GBK" w:cs="方正楷体_GBK"/>
          <w:color w:val="000000"/>
          <w:sz w:val="32"/>
          <w:szCs w:val="32"/>
        </w:rPr>
        <w:t>（五）强化监督考核</w:t>
      </w:r>
      <w:bookmarkEnd w:id="30"/>
    </w:p>
    <w:p>
      <w:pPr>
        <w:numPr>
          <w:ilvl w:val="0"/>
          <w:numId w:val="0"/>
        </w:numPr>
        <w:spacing w:beforeLines="0" w:afterLines="0" w:line="560" w:lineRule="exact"/>
        <w:ind w:firstLine="640" w:firstLineChars="200"/>
        <w:rPr>
          <w:rFonts w:hint="eastAsia" w:eastAsia="方正仿宋_GBK" w:cs="方正仿宋_GBK"/>
          <w:color w:val="000000"/>
          <w:sz w:val="32"/>
          <w:szCs w:val="32"/>
        </w:rPr>
      </w:pPr>
      <w:r>
        <w:rPr>
          <w:rFonts w:hint="eastAsia" w:eastAsia="方正仿宋_GBK" w:cs="方正仿宋_GBK"/>
          <w:color w:val="000000"/>
          <w:sz w:val="32"/>
          <w:szCs w:val="32"/>
        </w:rPr>
        <w:t>完善监测评估制度，强化对方案实施情况的跟踪分析。建立机制，加强重大政策、重大项目实施情况的动态管理参与。在各项目落实的中期和终期阶段，组织开展全面评估，引入第三方机构，推动长春现代化都市圈建设取得实际成就。</w:t>
      </w:r>
    </w:p>
    <w:p>
      <w:pPr>
        <w:spacing w:beforeLines="0" w:afterLines="0"/>
        <w:rPr>
          <w:rFonts w:hint="eastAsia"/>
          <w:sz w:val="21"/>
          <w:szCs w:val="24"/>
        </w:rPr>
      </w:pPr>
    </w:p>
    <w:p>
      <w:bookmarkStart w:id="31" w:name="_GoBack"/>
      <w:bookmarkEnd w:id="31"/>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eastAsia"/>
        <w:sz w:val="18"/>
        <w:szCs w:val="18"/>
      </w:rPr>
    </w:pPr>
    <w:r>
      <w:rPr>
        <w:rFonts w:hint="default" w:eastAsia="宋体"/>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PAGE  \* MERGEFORMAT </w:instrText>
                          </w:r>
                          <w:r>
                            <w:rPr>
                              <w:rFonts w:hint="default" w:ascii="宋体" w:hAnsi="宋体" w:eastAsia="宋体" w:cs="宋体"/>
                              <w:sz w:val="28"/>
                              <w:szCs w:val="28"/>
                            </w:rPr>
                            <w:fldChar w:fldCharType="separate"/>
                          </w:r>
                          <w:r>
                            <w:rPr>
                              <w:rFonts w:hint="default" w:ascii="宋体" w:hAnsi="宋体" w:eastAsia="宋体" w:cs="宋体"/>
                              <w:sz w:val="28"/>
                              <w:szCs w:val="28"/>
                            </w:rPr>
                            <w:t>1</w:t>
                          </w:r>
                          <w:r>
                            <w:rPr>
                              <w:rFonts w:hint="default" w:ascii="宋体" w:hAnsi="宋体" w:eastAsia="宋体" w:cs="宋体"/>
                              <w:sz w:val="28"/>
                              <w:szCs w:val="28"/>
                            </w:rPr>
                            <w:fldChar w:fldCharType="end"/>
                          </w:r>
                          <w:r>
                            <w:rPr>
                              <w:rFonts w:hint="default"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3"/>
                      <w:spacing w:beforeLines="0" w:afterLines="0"/>
                      <w:rPr>
                        <w:rFonts w:hint="default" w:ascii="宋体" w:hAnsi="宋体" w:eastAsia="宋体" w:cs="宋体"/>
                        <w:sz w:val="28"/>
                        <w:szCs w:val="28"/>
                      </w:rPr>
                    </w:pPr>
                    <w:r>
                      <w:rPr>
                        <w:rFonts w:hint="default" w:ascii="宋体" w:hAnsi="宋体" w:eastAsia="宋体" w:cs="宋体"/>
                        <w:sz w:val="28"/>
                        <w:szCs w:val="28"/>
                      </w:rPr>
                      <w:t xml:space="preserve">— </w:t>
                    </w:r>
                    <w:r>
                      <w:rPr>
                        <w:rFonts w:hint="default" w:ascii="宋体" w:hAnsi="宋体" w:eastAsia="宋体" w:cs="宋体"/>
                        <w:sz w:val="28"/>
                        <w:szCs w:val="28"/>
                      </w:rPr>
                      <w:fldChar w:fldCharType="begin"/>
                    </w:r>
                    <w:r>
                      <w:rPr>
                        <w:rFonts w:hint="default" w:ascii="宋体" w:hAnsi="宋体" w:eastAsia="宋体" w:cs="宋体"/>
                        <w:sz w:val="28"/>
                        <w:szCs w:val="28"/>
                      </w:rPr>
                      <w:instrText xml:space="preserve"> PAGE  \* MERGEFORMAT </w:instrText>
                    </w:r>
                    <w:r>
                      <w:rPr>
                        <w:rFonts w:hint="default" w:ascii="宋体" w:hAnsi="宋体" w:eastAsia="宋体" w:cs="宋体"/>
                        <w:sz w:val="28"/>
                        <w:szCs w:val="28"/>
                      </w:rPr>
                      <w:fldChar w:fldCharType="separate"/>
                    </w:r>
                    <w:r>
                      <w:rPr>
                        <w:rFonts w:hint="default" w:ascii="宋体" w:hAnsi="宋体" w:eastAsia="宋体" w:cs="宋体"/>
                        <w:sz w:val="28"/>
                        <w:szCs w:val="28"/>
                      </w:rPr>
                      <w:t>1</w:t>
                    </w:r>
                    <w:r>
                      <w:rPr>
                        <w:rFonts w:hint="default" w:ascii="宋体" w:hAnsi="宋体" w:eastAsia="宋体" w:cs="宋体"/>
                        <w:sz w:val="28"/>
                        <w:szCs w:val="28"/>
                      </w:rPr>
                      <w:fldChar w:fldCharType="end"/>
                    </w:r>
                    <w:r>
                      <w:rPr>
                        <w:rFonts w:hint="default"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TgyNTgwMDQxZjNhYmEwNDNjYmU0ODcxNmM1Y2UifQ=="/>
  </w:docVars>
  <w:rsids>
    <w:rsidRoot w:val="00000000"/>
    <w:rsid w:val="0861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0"/>
    <w:pPr>
      <w:spacing w:beforeLines="0" w:afterLines="0"/>
      <w:ind w:left="420" w:leftChars="200"/>
    </w:pPr>
    <w:rPr>
      <w:rFonts w:hint="eastAsia"/>
      <w:sz w:val="21"/>
      <w:szCs w:val="24"/>
    </w:rPr>
  </w:style>
  <w:style w:type="paragraph" w:styleId="3">
    <w:name w:val="footer"/>
    <w:basedOn w:val="1"/>
    <w:unhideWhenUsed/>
    <w:qFormat/>
    <w:uiPriority w:val="0"/>
    <w:pPr>
      <w:tabs>
        <w:tab w:val="center" w:pos="4153"/>
        <w:tab w:val="right" w:pos="8306"/>
      </w:tabs>
      <w:snapToGrid w:val="0"/>
      <w:spacing w:beforeLines="0" w:afterLines="0"/>
      <w:jc w:val="left"/>
    </w:pPr>
    <w:rPr>
      <w:rFonts w:hint="eastAsia"/>
      <w:sz w:val="18"/>
      <w:szCs w:val="18"/>
    </w:rPr>
  </w:style>
  <w:style w:type="paragraph" w:styleId="4">
    <w:name w:val="Title"/>
    <w:basedOn w:val="1"/>
    <w:next w:val="1"/>
    <w:unhideWhenUsed/>
    <w:qFormat/>
    <w:uiPriority w:val="10"/>
    <w:pPr>
      <w:widowControl/>
      <w:spacing w:beforeLines="0" w:afterLines="0"/>
      <w:jc w:val="center"/>
      <w:outlineLvl w:val="0"/>
    </w:pPr>
    <w:rPr>
      <w:rFonts w:hint="default" w:ascii="Arial" w:hAnsi="Arial" w:eastAsia="宋体" w:cs="Arial"/>
      <w:b/>
      <w:kern w:val="0"/>
      <w:sz w:val="44"/>
      <w:szCs w:val="32"/>
    </w:rPr>
  </w:style>
  <w:style w:type="paragraph" w:customStyle="1" w:styleId="7">
    <w:name w:val="（1）及正文"/>
    <w:basedOn w:val="1"/>
    <w:autoRedefine/>
    <w:unhideWhenUsed/>
    <w:qFormat/>
    <w:uiPriority w:val="0"/>
    <w:pPr>
      <w:autoSpaceDE w:val="0"/>
      <w:autoSpaceDN w:val="0"/>
      <w:spacing w:beforeLines="0" w:afterLines="0" w:line="560" w:lineRule="exact"/>
      <w:ind w:firstLine="200" w:firstLineChars="200"/>
    </w:pPr>
    <w:rPr>
      <w:rFonts w:hint="eastAsia" w:ascii="仿宋" w:hAnsi="仿宋" w:eastAsia="仿宋"/>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2024-01-29T03:52:26Z</dcterms:created>
  <dc:creator>lenovo</dc:creator>
  <cp:lastModifiedBy>像海绵宝宝、永远青春可爱</cp:lastModifiedBy>
  <dcterms:modified xsi:type="dcterms:W3CDTF">2024-01-29T03:52:32Z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6F5EB768793B4C978E50A0B7D7C4EB6F_12</vt:lpwstr>
  </property>
</Properties>
</file>