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FF0000"/>
          <w:spacing w:val="23"/>
          <w:w w:val="40"/>
          <w:sz w:val="132"/>
          <w:szCs w:val="132"/>
        </w:rPr>
      </w:pPr>
      <w:r>
        <w:rPr>
          <w:rFonts w:hint="eastAsia" w:ascii="Times New Roman" w:hAnsi="Times New Roman" w:eastAsia="宋体" w:cs="Times New Roman"/>
          <w:b/>
          <w:color w:val="FF0000"/>
          <w:spacing w:val="23"/>
          <w:w w:val="40"/>
          <w:sz w:val="132"/>
          <w:szCs w:val="132"/>
        </w:rPr>
        <w:t>中共梅河口市委农村工作领导小组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320" w:firstLineChars="10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梅农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eastAsia="zh-CN"/>
        </w:rPr>
        <w:t>组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〕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号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FF0000"/>
          <w:position w:val="-10"/>
          <w:sz w:val="40"/>
          <w:szCs w:val="40"/>
        </w:rPr>
        <w:t xml:space="preserve">★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  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position w:val="10"/>
          <w:sz w:val="38"/>
          <w:szCs w:val="3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关于下达梅河口市2021年第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批巩固脱贫攻坚成果衔接推进乡村振兴资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金计划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梅河口市财政局、梅河口市乡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村振兴服务中心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</w:rPr>
        <w:t>根据省财政厅《关于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提前预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下达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2021年中央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财政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衔接推进乡村振兴补助资金预算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的通知》（吉财农指[20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]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276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号）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《关于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提前预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下达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2021年省级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财政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衔接推进乡村振兴补助资金预算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的通知》（吉财农指[20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]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278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号）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《关于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预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下达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2021年省级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财政专项扶贫资金的通知》（吉财农指[20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]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106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号）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《关于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提前预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下达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财政专项扶贫资金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预算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的通知》（吉财农指[20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]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1106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号）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文件要求，现将梅河口市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第四批巩固脱贫攻坚成果衔接推进乡村振兴资金计划下达给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你们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，具体要求通知如下：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</w:rPr>
        <w:t>一、本批下达的乡村振兴资金共计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2099.41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万元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由市委农村工作领导小组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研究决定，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将乡村振兴资金下达到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梅河口市乡村振兴服务中心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</w:rPr>
        <w:t>二、此乡村振兴资金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将计划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投入到梅河口市双龙粮食种植专业合作社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产业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按照每年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不低于6%的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收益标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准，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用于全市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脱贫人口及监测对象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的精准帮扶。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梅河口市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双龙粮食种植专业合作社开户行：吉林银行通化奉天支行；账户名称：梅河口市双龙粮食种植专业合作社；账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号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：0408111000000073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</w:rPr>
        <w:t>三、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乡村振兴服务中心要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严格按照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关于印发加强扶贫项目资产后续管理实施意见的通知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（吉乡振联〔2021〕20号）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《梅河口市财政衔接推进乡村振兴补助资金管理实施办法》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对项目资金进行管理。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</w:rPr>
        <w:t>四、在收到资金计划后，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梅河口市乡村振兴服务中心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按照规定完成资金的使用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并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做好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项目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档案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材料</w:t>
      </w:r>
      <w:r>
        <w:rPr>
          <w:rFonts w:hint="eastAsia" w:ascii="方正仿宋_GBK" w:hAnsi="方正仿宋_GBK" w:eastAsia="方正仿宋_GBK" w:cs="方正仿宋_GBK"/>
          <w:sz w:val="34"/>
          <w:szCs w:val="34"/>
          <w:lang w:eastAsia="zh-CN"/>
        </w:rPr>
        <w:t>的整理存档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；市财政局按照资金计划按时给予资金拨付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8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附：第四批巩固脱贫攻坚成果衔接推进乡村振兴资金计划表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 xml:space="preserve">中共梅河口市委农村工作领导小组                           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20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年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月</w:t>
      </w:r>
      <w:r>
        <w:rPr>
          <w:rFonts w:hint="eastAsia" w:ascii="方正仿宋_GBK" w:hAnsi="方正仿宋_GBK" w:eastAsia="方正仿宋_GBK" w:cs="方正仿宋_GBK"/>
          <w:sz w:val="34"/>
          <w:szCs w:val="34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4"/>
          <w:szCs w:val="34"/>
        </w:rPr>
        <w:t>日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50"/>
    <w:rsid w:val="00040079"/>
    <w:rsid w:val="00076250"/>
    <w:rsid w:val="00170DD5"/>
    <w:rsid w:val="00180158"/>
    <w:rsid w:val="001C6DBD"/>
    <w:rsid w:val="002A452F"/>
    <w:rsid w:val="00507CE5"/>
    <w:rsid w:val="005D0262"/>
    <w:rsid w:val="00600F39"/>
    <w:rsid w:val="00612D53"/>
    <w:rsid w:val="00620ACD"/>
    <w:rsid w:val="00672513"/>
    <w:rsid w:val="007F764F"/>
    <w:rsid w:val="00871273"/>
    <w:rsid w:val="0089269C"/>
    <w:rsid w:val="009D52F8"/>
    <w:rsid w:val="00A40654"/>
    <w:rsid w:val="00D776F2"/>
    <w:rsid w:val="00EE49C6"/>
    <w:rsid w:val="00FE7BB6"/>
    <w:rsid w:val="09406EBD"/>
    <w:rsid w:val="096C67B0"/>
    <w:rsid w:val="0AC07EC5"/>
    <w:rsid w:val="0E81499D"/>
    <w:rsid w:val="246A149F"/>
    <w:rsid w:val="26D67043"/>
    <w:rsid w:val="27417918"/>
    <w:rsid w:val="2CF52DD3"/>
    <w:rsid w:val="2DDA7F94"/>
    <w:rsid w:val="32641C5D"/>
    <w:rsid w:val="3708679B"/>
    <w:rsid w:val="3E975677"/>
    <w:rsid w:val="5CE22A8D"/>
    <w:rsid w:val="5E907043"/>
    <w:rsid w:val="6AA531AE"/>
    <w:rsid w:val="700A77B7"/>
    <w:rsid w:val="760567A0"/>
    <w:rsid w:val="7F312AF8"/>
    <w:rsid w:val="7FD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7</TotalTime>
  <ScaleCrop>false</ScaleCrop>
  <LinksUpToDate>false</LinksUpToDate>
  <CharactersWithSpaces>680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2019-07-11T01:26:00Z</dcterms:created>
  <dc:creator>lenovo</dc:creator>
  <cp:lastModifiedBy>乏味.</cp:lastModifiedBy>
  <cp:lastPrinted>2021-12-30T01:19:01Z</cp:lastPrinted>
  <dcterms:modified xsi:type="dcterms:W3CDTF">2021-12-30T01:19:27Z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5F39C19673E44BACA4A94DABE51E076D</vt:lpwstr>
  </property>
</Properties>
</file>